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00"/>
      </w:pPr>
      <w:r>
        <w:rPr>
          <w:b/>
          <w:bCs/>
          <w:color w:val="0b0b0b"/>
          <w:sz w:val="44"/>
          <w:szCs w:val="44"/>
        </w:rPr>
        <w:t xml:space="preserve">The All-In Cost of an Ounce of Gold</w:t>
      </w:r>
    </w:p>
    <w:p>
      <w:pPr>
        <w:spacing w:after="40"/>
      </w:pPr>
      <w:r>
        <w:rPr>
          <w:i/>
          <w:iCs/>
          <w:color w:val="52514e"/>
          <w:sz w:val="24"/>
          <w:szCs w:val="24"/>
        </w:rPr>
        <w:t xml:space="preserve">Production economics, the global cost map, 56 years of price vs. cost, and who holds the gold</w:t>
      </w:r>
    </w:p>
    <w:p>
      <w:pPr>
        <w:pBdr>
          <w:bottom w:val="single" w:color="2a78d6" w:sz="8" w:space="6"/>
        </w:pBdr>
        <w:spacing w:after="120"/>
      </w:pPr>
      <w:r>
        <w:rPr>
          <w:color w:val="898781"/>
          <w:sz w:val="18"/>
          <w:szCs w:val="18"/>
        </w:rPr>
        <w:t xml:space="preserve">Research briefing · Data as of 21 July 2026 · Companion to the interactive dashboard</w:t>
      </w:r>
    </w:p>
    <w:p>
      <w:pPr>
        <w:spacing w:after="100"/>
      </w:pPr>
      <w:r>
        <w:rPr>
          <w:i/>
          <w:iCs/>
          <w:color w:val="898781"/>
          <w:sz w:val="18"/>
          <w:szCs w:val="18"/>
        </w:rPr>
        <w:t xml:space="preserve">Illustrative research — not investment advice, and not a recommendation to buy, sell or hold gold or any other asset. The three investor “reads” in section 6 are AI simulations of documented public positions, not statements by, or endorsed by, the named individuals.</w:t>
      </w:r>
    </w:p>
    <w:p>
      <w:pPr>
        <w:pBdr>
          <w:top w:val="single" w:color="efe3c0" w:sz="2"/>
          <w:bottom w:val="single" w:color="efe3c0" w:sz="2"/>
          <w:left w:val="single" w:color="eda100" w:sz="20" w:space="14"/>
          <w:right w:val="single" w:color="efe3c0" w:sz="2"/>
        </w:pBdr>
        <w:shd w:fill="fbf4e1" w:val="clear"/>
        <w:spacing w:after="60" w:before="80" w:line="300"/>
      </w:pPr>
      <w:r>
        <w:rPr>
          <w:b/>
          <w:bCs/>
          <w:color w:val="0b0b0b"/>
          <w:sz w:val="21"/>
          <w:szCs w:val="21"/>
        </w:rPr>
        <w:t xml:space="preserve">The one-line answer.  </w:t>
      </w:r>
      <w:r>
        <w:rPr>
          <w:color w:val="0b0b0b"/>
          <w:sz w:val="21"/>
          <w:szCs w:val="21"/>
        </w:rPr>
        <w:t xml:space="preserve">The latest reliable global-average all-in sustaining cost (AISC) to produce gold is about </w:t>
      </w:r>
      <w:r>
        <w:rPr>
          <w:b/>
          <w:bCs/>
          <w:color w:val="0b0b0b"/>
          <w:sz w:val="21"/>
          <w:szCs w:val="21"/>
        </w:rPr>
        <w:t xml:space="preserve">$1,700 per ounce</w:t>
      </w:r>
      <w:r>
        <w:rPr>
          <w:color w:val="0b0b0b"/>
          <w:sz w:val="21"/>
          <w:szCs w:val="21"/>
        </w:rPr>
        <w:t xml:space="preserve">. The World Gold Council pegs Q4 2025 AISC at $1,706/oz (up 20% year-on-year, a record); Metals Focus’ Q4 2025 cost curve sits near a $1,709 median. Adding growth capital and exploration lifts the </w:t>
      </w:r>
      <w:r>
        <w:rPr>
          <w:b/>
          <w:bCs/>
          <w:color w:val="0b0b0b"/>
          <w:sz w:val="21"/>
          <w:szCs w:val="21"/>
        </w:rPr>
        <w:t xml:space="preserve">all-in cost (AIC) to ≈$1,946/oz</w:t>
      </w:r>
      <w:r>
        <w:rPr>
          <w:color w:val="0b0b0b"/>
          <w:sz w:val="21"/>
          <w:szCs w:val="21"/>
        </w:rPr>
        <w:t xml:space="preserve">; a further 15% for tax &amp; finance gives a </w:t>
      </w:r>
      <w:r>
        <w:rPr>
          <w:b/>
          <w:bCs/>
          <w:color w:val="0b0b0b"/>
          <w:sz w:val="21"/>
          <w:szCs w:val="21"/>
        </w:rPr>
        <w:t xml:space="preserve">fully-loaded cost of ≈$2,238/oz</w:t>
      </w:r>
      <w:r>
        <w:rPr>
          <w:color w:val="0b0b0b"/>
          <w:sz w:val="21"/>
          <w:szCs w:val="21"/>
        </w:rPr>
        <w:t xml:space="preserve">. With gold near $4,010, producers still earn a margin of $1,800–2,300/oz depending on the cost lens — the widest in the industry’s modern history — even though costs are simultaneously at all-time highs.</w:t>
      </w:r>
    </w:p>
    <w:p>
      <w:r>
        <w:br w:type="page"/>
      </w:r>
    </w:p>
    <w:p>
      <w:pPr>
        <w:pStyle w:val="Heading1"/>
        <w:spacing w:after="120" w:before="320"/>
      </w:pPr>
      <w:r>
        <w:rPr>
          <w:b/>
          <w:bCs/>
          <w:color w:val="0b0b0b"/>
          <w:sz w:val="30"/>
          <w:szCs w:val="30"/>
        </w:rPr>
        <w:t xml:space="preserve">1.  The headline numbers</w:t>
      </w:r>
    </w:p>
    <w:p>
      <w:pPr>
        <w:spacing w:after="140" w:line="300"/>
      </w:pPr>
      <w:r>
        <w:rPr>
          <w:color w:val="0b0b0b"/>
          <w:sz w:val="21"/>
          <w:szCs w:val="21"/>
        </w:rPr>
        <w:t xml:space="preserve">Gold trades near </w:t>
      </w:r>
      <w:r>
        <w:rPr>
          <w:b/>
          <w:bCs/>
          <w:color w:val="0b0b0b"/>
          <w:sz w:val="21"/>
          <w:szCs w:val="21"/>
        </w:rPr>
        <w:t xml:space="preserve">$4,010 per ounce</w:t>
      </w:r>
      <w:r>
        <w:rPr>
          <w:color w:val="0b0b0b"/>
          <w:sz w:val="21"/>
          <w:szCs w:val="21"/>
        </w:rPr>
        <w:t xml:space="preserve"> as of 20 July 2026 — up roughly 19.6% over the prior twelve months and in all-time-high territory. The annual average price was $3,432 in 2025 and $2,386 in 2024 — up ~44% year on year, and roughly double its 2023 level. Against that, the cost of pulling an ounce out of the ground has risen too, but far more slowly.</w:t>
      </w:r>
    </w:p>
    <w:tbl>
      <w:tblPr>
        <w:tblW w:type="dxa" w:w="9360"/>
        <w:tblBorders>
          <w:top w:val="single" w:color="d9d8d2" w:sz="2"/>
          <w:left w:val="none"/>
          <w:bottom w:val="single" w:color="d9d8d2" w:sz="2"/>
          <w:right w:val="none"/>
          <w:insideH w:val="single" w:color="d9d8d2" w:sz="2"/>
          <w:insideV w:val="none"/>
        </w:tblBorders>
      </w:tblPr>
      <w:tblGrid>
        <w:gridCol w:w="2340"/>
        <w:gridCol w:w="1560"/>
        <w:gridCol w:w="5460"/>
      </w:tblGrid>
      <w:tr>
        <w:trPr>
          <w:tblHeader/>
        </w:trPr>
        <w:tc>
          <w:tcPr>
            <w:tcW w:type="dxa" w:w="2340"/>
            <w:shd w:fill="eef3fb" w:val="clear"/>
            <w:tcMar>
              <w:top w:type="dxa" w:w="60"/>
              <w:left w:type="dxa" w:w="90"/>
              <w:bottom w:type="dxa" w:w="60"/>
              <w:right w:type="dxa" w:w="90"/>
            </w:tcMar>
          </w:tcPr>
          <w:p>
            <w:r>
              <w:rPr>
                <w:b/>
                <w:bCs/>
                <w:color w:val="0b0b0b"/>
                <w:sz w:val="18"/>
                <w:szCs w:val="18"/>
              </w:rPr>
              <w:t xml:space="preserve">Cost measure</w:t>
            </w:r>
          </w:p>
        </w:tc>
        <w:tc>
          <w:tcPr>
            <w:tcW w:type="dxa" w:w="1560"/>
            <w:shd w:fill="eef3fb" w:val="clear"/>
            <w:tcMar>
              <w:top w:type="dxa" w:w="60"/>
              <w:left w:type="dxa" w:w="90"/>
              <w:bottom w:type="dxa" w:w="60"/>
              <w:right w:type="dxa" w:w="90"/>
            </w:tcMar>
          </w:tcPr>
          <w:p>
            <w:r>
              <w:rPr>
                <w:b/>
                <w:bCs/>
                <w:color w:val="0b0b0b"/>
                <w:sz w:val="18"/>
                <w:szCs w:val="18"/>
              </w:rPr>
              <w:t xml:space="preserve">US$/oz</w:t>
            </w:r>
          </w:p>
        </w:tc>
        <w:tc>
          <w:tcPr>
            <w:tcW w:type="dxa" w:w="5460"/>
            <w:shd w:fill="eef3fb" w:val="clear"/>
            <w:tcMar>
              <w:top w:type="dxa" w:w="60"/>
              <w:left w:type="dxa" w:w="90"/>
              <w:bottom w:type="dxa" w:w="60"/>
              <w:right w:type="dxa" w:w="90"/>
            </w:tcMar>
          </w:tcPr>
          <w:p>
            <w:r>
              <w:rPr>
                <w:b/>
                <w:bCs/>
                <w:color w:val="0b0b0b"/>
                <w:sz w:val="18"/>
                <w:szCs w:val="18"/>
              </w:rPr>
              <w:t xml:space="preserve">What it captures</w:t>
            </w:r>
          </w:p>
        </w:tc>
      </w:tr>
      <w:tr>
        <w:tc>
          <w:tcPr>
            <w:tcW w:type="dxa" w:w="2340"/>
            <w:tcMar>
              <w:top w:type="dxa" w:w="50"/>
              <w:left w:type="dxa" w:w="90"/>
              <w:bottom w:type="dxa" w:w="50"/>
              <w:right w:type="dxa" w:w="90"/>
            </w:tcMar>
          </w:tcPr>
          <w:p>
            <w:r>
              <w:rPr>
                <w:b/>
                <w:bCs/>
                <w:color w:val="2a78d6"/>
                <w:sz w:val="18"/>
                <w:szCs w:val="18"/>
              </w:rPr>
              <w:t xml:space="preserve">Total cash cost</w:t>
            </w:r>
          </w:p>
        </w:tc>
        <w:tc>
          <w:tcPr>
            <w:tcW w:type="dxa" w:w="1560"/>
            <w:tcMar>
              <w:top w:type="dxa" w:w="50"/>
              <w:left w:type="dxa" w:w="90"/>
              <w:bottom w:type="dxa" w:w="50"/>
              <w:right w:type="dxa" w:w="90"/>
            </w:tcMar>
          </w:tcPr>
          <w:p>
            <w:r>
              <w:rPr>
                <w:color w:val="0b0b0b"/>
                <w:sz w:val="18"/>
                <w:szCs w:val="18"/>
              </w:rPr>
              <w:t xml:space="preserve">≈ 1,235</w:t>
            </w:r>
          </w:p>
        </w:tc>
        <w:tc>
          <w:tcPr>
            <w:tcW w:type="dxa" w:w="5460"/>
            <w:tcMar>
              <w:top w:type="dxa" w:w="50"/>
              <w:left w:type="dxa" w:w="90"/>
              <w:bottom w:type="dxa" w:w="50"/>
              <w:right w:type="dxa" w:w="90"/>
            </w:tcMar>
          </w:tcPr>
          <w:p>
            <w:r>
              <w:rPr>
                <w:color w:val="0b0b0b"/>
                <w:sz w:val="18"/>
                <w:szCs w:val="18"/>
              </w:rPr>
              <w:t xml:space="preserve">On-site mining, processing, site G&amp;A, refining and royalties — the pre-2013 industry standard.</w:t>
            </w:r>
          </w:p>
        </w:tc>
      </w:tr>
      <w:tr>
        <w:tc>
          <w:tcPr>
            <w:tcW w:type="dxa" w:w="2340"/>
            <w:tcMar>
              <w:top w:type="dxa" w:w="50"/>
              <w:left w:type="dxa" w:w="90"/>
              <w:bottom w:type="dxa" w:w="50"/>
              <w:right w:type="dxa" w:w="90"/>
            </w:tcMar>
          </w:tcPr>
          <w:p>
            <w:r>
              <w:rPr>
                <w:b/>
                <w:bCs/>
                <w:color w:val="c2521f"/>
                <w:sz w:val="18"/>
                <w:szCs w:val="18"/>
              </w:rPr>
              <w:t xml:space="preserve">AISC (all-in sustaining)</w:t>
            </w:r>
          </w:p>
        </w:tc>
        <w:tc>
          <w:tcPr>
            <w:tcW w:type="dxa" w:w="1560"/>
            <w:tcMar>
              <w:top w:type="dxa" w:w="50"/>
              <w:left w:type="dxa" w:w="90"/>
              <w:bottom w:type="dxa" w:w="50"/>
              <w:right w:type="dxa" w:w="90"/>
            </w:tcMar>
          </w:tcPr>
          <w:p>
            <w:r>
              <w:rPr>
                <w:color w:val="0b0b0b"/>
                <w:sz w:val="18"/>
                <w:szCs w:val="18"/>
              </w:rPr>
              <w:t xml:space="preserve">≈ 1,706</w:t>
            </w:r>
          </w:p>
        </w:tc>
        <w:tc>
          <w:tcPr>
            <w:tcW w:type="dxa" w:w="5460"/>
            <w:tcMar>
              <w:top w:type="dxa" w:w="50"/>
              <w:left w:type="dxa" w:w="90"/>
              <w:bottom w:type="dxa" w:w="50"/>
              <w:right w:type="dxa" w:w="90"/>
            </w:tcMar>
          </w:tcPr>
          <w:p>
            <w:r>
              <w:rPr>
                <w:color w:val="0b0b0b"/>
                <w:sz w:val="18"/>
                <w:szCs w:val="18"/>
              </w:rPr>
              <w:t xml:space="preserve">Cash cost plus sustaining capital, corporate overhead and reclamation. WGC standard since 2013; Q4 2025 global average.</w:t>
            </w:r>
          </w:p>
        </w:tc>
      </w:tr>
      <w:tr>
        <w:tc>
          <w:tcPr>
            <w:tcW w:type="dxa" w:w="2340"/>
            <w:tcMar>
              <w:top w:type="dxa" w:w="50"/>
              <w:left w:type="dxa" w:w="90"/>
              <w:bottom w:type="dxa" w:w="50"/>
              <w:right w:type="dxa" w:w="90"/>
            </w:tcMar>
          </w:tcPr>
          <w:p>
            <w:r>
              <w:rPr>
                <w:b/>
                <w:bCs/>
                <w:color w:val="4a3aa7"/>
                <w:sz w:val="18"/>
                <w:szCs w:val="18"/>
              </w:rPr>
              <w:t xml:space="preserve">AIC (all-in cost)</w:t>
            </w:r>
          </w:p>
        </w:tc>
        <w:tc>
          <w:tcPr>
            <w:tcW w:type="dxa" w:w="1560"/>
            <w:tcMar>
              <w:top w:type="dxa" w:w="50"/>
              <w:left w:type="dxa" w:w="90"/>
              <w:bottom w:type="dxa" w:w="50"/>
              <w:right w:type="dxa" w:w="90"/>
            </w:tcMar>
          </w:tcPr>
          <w:p>
            <w:r>
              <w:rPr>
                <w:color w:val="0b0b0b"/>
                <w:sz w:val="18"/>
                <w:szCs w:val="18"/>
              </w:rPr>
              <w:t xml:space="preserve">≈ 1,946</w:t>
            </w:r>
          </w:p>
        </w:tc>
        <w:tc>
          <w:tcPr>
            <w:tcW w:type="dxa" w:w="5460"/>
            <w:tcMar>
              <w:top w:type="dxa" w:w="50"/>
              <w:left w:type="dxa" w:w="90"/>
              <w:bottom w:type="dxa" w:w="50"/>
              <w:right w:type="dxa" w:w="90"/>
            </w:tcMar>
          </w:tcPr>
          <w:p>
            <w:r>
              <w:rPr>
                <w:color w:val="0b0b0b"/>
                <w:sz w:val="18"/>
                <w:szCs w:val="18"/>
              </w:rPr>
              <w:t xml:space="preserve">AISC plus growth/expansion capital and greenfield exploration — the cost of building the next mine.</w:t>
            </w:r>
          </w:p>
        </w:tc>
      </w:tr>
      <w:tr>
        <w:tc>
          <w:tcPr>
            <w:tcW w:type="dxa" w:w="2340"/>
            <w:tcMar>
              <w:top w:type="dxa" w:w="50"/>
              <w:left w:type="dxa" w:w="90"/>
              <w:bottom w:type="dxa" w:w="50"/>
              <w:right w:type="dxa" w:w="90"/>
            </w:tcMar>
          </w:tcPr>
          <w:p>
            <w:r>
              <w:rPr>
                <w:b/>
                <w:bCs/>
                <w:color w:val="b0357a"/>
                <w:sz w:val="18"/>
                <w:szCs w:val="18"/>
              </w:rPr>
              <w:t xml:space="preserve">Fully-loaded cost</w:t>
            </w:r>
          </w:p>
        </w:tc>
        <w:tc>
          <w:tcPr>
            <w:tcW w:type="dxa" w:w="1560"/>
            <w:tcMar>
              <w:top w:type="dxa" w:w="50"/>
              <w:left w:type="dxa" w:w="90"/>
              <w:bottom w:type="dxa" w:w="50"/>
              <w:right w:type="dxa" w:w="90"/>
            </w:tcMar>
          </w:tcPr>
          <w:p>
            <w:r>
              <w:rPr>
                <w:color w:val="0b0b0b"/>
                <w:sz w:val="18"/>
                <w:szCs w:val="18"/>
              </w:rPr>
              <w:t xml:space="preserve">≈ 2,238</w:t>
            </w:r>
          </w:p>
        </w:tc>
        <w:tc>
          <w:tcPr>
            <w:tcW w:type="dxa" w:w="5460"/>
            <w:tcMar>
              <w:top w:type="dxa" w:w="50"/>
              <w:left w:type="dxa" w:w="90"/>
              <w:bottom w:type="dxa" w:w="50"/>
              <w:right w:type="dxa" w:w="90"/>
            </w:tcMar>
          </w:tcPr>
          <w:p>
            <w:r>
              <w:rPr>
                <w:color w:val="0b0b0b"/>
                <w:sz w:val="18"/>
                <w:szCs w:val="18"/>
              </w:rPr>
              <w:t xml:space="preserve">AIC plus a 15% charge for tax &amp; finance (income tax, interest, financing) — the truest cost to the business.</w:t>
            </w:r>
          </w:p>
        </w:tc>
      </w:tr>
      <w:tr>
        <w:tc>
          <w:tcPr>
            <w:tcW w:type="dxa" w:w="2340"/>
            <w:tcMar>
              <w:top w:type="dxa" w:w="50"/>
              <w:left w:type="dxa" w:w="90"/>
              <w:bottom w:type="dxa" w:w="50"/>
              <w:right w:type="dxa" w:w="90"/>
            </w:tcMar>
          </w:tcPr>
          <w:p>
            <w:r>
              <w:rPr>
                <w:b/>
                <w:bCs/>
                <w:color w:val="1a7a1a"/>
                <w:sz w:val="18"/>
                <w:szCs w:val="18"/>
              </w:rPr>
              <w:t xml:space="preserve">Margin at spot (per lens)</w:t>
            </w:r>
          </w:p>
        </w:tc>
        <w:tc>
          <w:tcPr>
            <w:tcW w:type="dxa" w:w="1560"/>
            <w:tcMar>
              <w:top w:type="dxa" w:w="50"/>
              <w:left w:type="dxa" w:w="90"/>
              <w:bottom w:type="dxa" w:w="50"/>
              <w:right w:type="dxa" w:w="90"/>
            </w:tcMar>
          </w:tcPr>
          <w:p>
            <w:r>
              <w:rPr>
                <w:color w:val="1a7a1a"/>
                <w:sz w:val="18"/>
                <w:szCs w:val="18"/>
              </w:rPr>
              <w:t xml:space="preserve">1,772–2,304</w:t>
            </w:r>
          </w:p>
        </w:tc>
        <w:tc>
          <w:tcPr>
            <w:tcW w:type="dxa" w:w="5460"/>
            <w:tcMar>
              <w:top w:type="dxa" w:w="50"/>
              <w:left w:type="dxa" w:w="90"/>
              <w:bottom w:type="dxa" w:w="50"/>
              <w:right w:type="dxa" w:w="90"/>
            </w:tcMar>
          </w:tcPr>
          <w:p>
            <w:r>
              <w:rPr>
                <w:color w:val="0b0b0b"/>
                <w:sz w:val="18"/>
                <w:szCs w:val="18"/>
              </w:rPr>
              <w:t xml:space="preserve">Spot minus cost: ≈57% of price vs AISC, ≈51% vs AIC, ≈44% vs fully-loaded.</w:t>
            </w:r>
          </w:p>
        </w:tc>
      </w:tr>
    </w:tbl>
    <w:p>
      <w:pPr>
        <w:spacing w:after="60"/>
      </w:pPr>
    </w:p>
    <w:p>
      <w:pPr>
        <w:spacing w:after="140" w:line="300"/>
      </w:pPr>
      <w:r>
        <w:rPr>
          <w:i/>
          <w:iCs/>
          <w:color w:val="52514e"/>
          <w:sz w:val="21"/>
          <w:szCs w:val="21"/>
        </w:rPr>
        <w:t xml:space="preserve">Two facts sit in tension and both are true: costs have never been higher in nominal terms, and margins have never been wider. That is the paradox the rest of this briefing unpacks.</w:t>
      </w:r>
    </w:p>
    <w:p>
      <w:pPr>
        <w:pStyle w:val="Heading1"/>
        <w:spacing w:after="120" w:before="320"/>
      </w:pPr>
      <w:r>
        <w:rPr>
          <w:b/>
          <w:bCs/>
          <w:color w:val="0b0b0b"/>
          <w:sz w:val="30"/>
          <w:szCs w:val="30"/>
        </w:rPr>
        <w:t xml:space="preserve">2.  Anatomy of a produced ounce</w:t>
      </w:r>
    </w:p>
    <w:p>
      <w:pPr>
        <w:spacing w:after="140" w:line="300"/>
      </w:pPr>
      <w:r>
        <w:rPr>
          <w:color w:val="0b0b0b"/>
          <w:sz w:val="21"/>
          <w:szCs w:val="21"/>
        </w:rPr>
        <w:t xml:space="preserve">“Cost” is not a single number; it is a ladder of ever-more-complete definitions. Each rung adds a real category of spending that the one below it ignores.</w:t>
      </w:r>
    </w:p>
    <w:p>
      <w:pPr>
        <w:pStyle w:val="ListParagraph"/>
        <w:numPr>
          <w:ilvl w:val="0"/>
          <w:numId w:val="2"/>
        </w:numPr>
        <w:spacing w:after="80" w:line="290"/>
      </w:pPr>
      <w:r>
        <w:rPr>
          <w:b/>
          <w:bCs/>
          <w:color w:val="0b0b0b"/>
          <w:sz w:val="21"/>
          <w:szCs w:val="21"/>
        </w:rPr>
        <w:t xml:space="preserve">Cash cost (≈$1,235). </w:t>
      </w:r>
      <w:r>
        <w:rPr>
          <w:color w:val="0b0b0b"/>
          <w:sz w:val="21"/>
          <w:szCs w:val="21"/>
        </w:rPr>
        <w:t xml:space="preserve">What it takes to get metal out of rock today — mining and hauling ore, processing and refining it, running the site, and paying royalties and production taxes.</w:t>
      </w:r>
    </w:p>
    <w:p>
      <w:pPr>
        <w:pStyle w:val="ListParagraph"/>
        <w:numPr>
          <w:ilvl w:val="0"/>
          <w:numId w:val="2"/>
        </w:numPr>
        <w:spacing w:after="80" w:line="290"/>
      </w:pPr>
      <w:r>
        <w:rPr>
          <w:b/>
          <w:bCs/>
          <w:color w:val="0b0b0b"/>
          <w:sz w:val="21"/>
          <w:szCs w:val="21"/>
        </w:rPr>
        <w:t xml:space="preserve">AISC (≈$1,706). </w:t>
      </w:r>
      <w:r>
        <w:rPr>
          <w:color w:val="0b0b0b"/>
          <w:sz w:val="21"/>
          <w:szCs w:val="21"/>
        </w:rPr>
        <w:t xml:space="preserve">Introduced by the World Gold Council in 2013 to end the fiction that cash cost was the “real” cost. It adds sustaining capital (the money spent every year just to keep current production going — equipment, capitalised stripping, underground development), corporate overhead, and mine-site reclamation.</w:t>
      </w:r>
    </w:p>
    <w:p>
      <w:pPr>
        <w:pStyle w:val="ListParagraph"/>
        <w:numPr>
          <w:ilvl w:val="0"/>
          <w:numId w:val="2"/>
        </w:numPr>
        <w:spacing w:after="80" w:line="290"/>
      </w:pPr>
      <w:r>
        <w:rPr>
          <w:b/>
          <w:bCs/>
          <w:color w:val="0b0b0b"/>
          <w:sz w:val="21"/>
          <w:szCs w:val="21"/>
        </w:rPr>
        <w:t xml:space="preserve">AIC (≈$1,946). </w:t>
      </w:r>
      <w:r>
        <w:rPr>
          <w:color w:val="0b0b0b"/>
          <w:sz w:val="21"/>
          <w:szCs w:val="21"/>
        </w:rPr>
        <w:t xml:space="preserve">Adds the truly forward-looking money: growth and expansion capital, and greenfield exploration to replace the reserves being depleted. This is the number that determines whether the industry can reproduce itself.</w:t>
      </w:r>
    </w:p>
    <w:p>
      <w:pPr>
        <w:pStyle w:val="ListParagraph"/>
        <w:numPr>
          <w:ilvl w:val="0"/>
          <w:numId w:val="2"/>
        </w:numPr>
        <w:spacing w:after="80" w:line="290"/>
      </w:pPr>
      <w:r>
        <w:rPr>
          <w:b/>
          <w:bCs/>
          <w:color w:val="0b0b0b"/>
          <w:sz w:val="21"/>
          <w:szCs w:val="21"/>
        </w:rPr>
        <w:t xml:space="preserve">Fully-loaded (≈$2,238). </w:t>
      </w:r>
      <w:r>
        <w:rPr>
          <w:color w:val="0b0b0b"/>
          <w:sz w:val="21"/>
          <w:szCs w:val="21"/>
        </w:rPr>
        <w:t xml:space="preserve">Adds a </w:t>
      </w:r>
      <w:r>
        <w:rPr>
          <w:b/>
          <w:bCs/>
          <w:color w:val="0b0b0b"/>
          <w:sz w:val="21"/>
          <w:szCs w:val="21"/>
        </w:rPr>
        <w:t xml:space="preserve">15% charge for tax &amp; finance</w:t>
      </w:r>
      <w:r>
        <w:rPr>
          <w:color w:val="0b0b0b"/>
          <w:sz w:val="21"/>
          <w:szCs w:val="21"/>
        </w:rPr>
        <w:t xml:space="preserve"> — corporate income tax plus the interest and financing cost of the capital a mining business deploys (here modelled at 15% of AIC, ≈$292/oz). It answers “what does an ounce really cost the business,” not just the mine.</w:t>
      </w:r>
    </w:p>
    <w:p>
      <w:pPr>
        <w:spacing w:after="140" w:line="300"/>
      </w:pPr>
      <w:r>
        <w:rPr>
          <w:color w:val="0b0b0b"/>
          <w:sz w:val="21"/>
          <w:szCs w:val="21"/>
        </w:rPr>
        <w:t xml:space="preserve">In WGC’s Q3 2024 data the two largest “above-cash” components were sustaining capital at </w:t>
      </w:r>
      <w:r>
        <w:rPr>
          <w:b/>
          <w:bCs/>
          <w:color w:val="0b0b0b"/>
          <w:sz w:val="21"/>
          <w:szCs w:val="21"/>
        </w:rPr>
        <w:t xml:space="preserve">$303/oz</w:t>
      </w:r>
      <w:r>
        <w:rPr>
          <w:color w:val="0b0b0b"/>
          <w:sz w:val="21"/>
          <w:szCs w:val="21"/>
        </w:rPr>
        <w:t xml:space="preserve"> and royalties/mining taxes at </w:t>
      </w:r>
      <w:r>
        <w:rPr>
          <w:b/>
          <w:bCs/>
          <w:color w:val="0b0b0b"/>
          <w:sz w:val="21"/>
          <w:szCs w:val="21"/>
        </w:rPr>
        <w:t xml:space="preserve">$90/oz</w:t>
      </w:r>
      <w:r>
        <w:rPr>
          <w:color w:val="0b0b0b"/>
          <w:sz w:val="21"/>
          <w:szCs w:val="21"/>
        </w:rPr>
        <w:t xml:space="preserve"> — the latter rising fast (up 31% year-on-year) precisely because royalties are levied on a soaring gold price. The chart below builds one representative ounce from the bottom up, through all four cost definitions.</w:t>
      </w:r>
    </w:p>
    <w:p>
      <w:pPr>
        <w:spacing w:after="60" w:before="120"/>
        <w:jc w:val="center"/>
      </w:pPr>
      <w:r>
        <w:drawing>
          <wp:inline distT="0" distB="0" distL="0" distR="0">
            <wp:extent cx="5810250" cy="2962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810250" cy="2962275"/>
                    </a:xfrm>
                    <a:prstGeom prst="rect">
                      <a:avLst/>
                    </a:prstGeom>
                  </pic:spPr>
                </pic:pic>
              </a:graphicData>
            </a:graphic>
          </wp:inline>
        </w:drawing>
      </w:r>
    </w:p>
    <w:p>
      <w:pPr>
        <w:spacing w:after="160"/>
        <w:jc w:val="center"/>
      </w:pPr>
      <w:r>
        <w:rPr>
          <w:i/>
          <w:iCs/>
          <w:color w:val="898781"/>
          <w:sz w:val="16"/>
          <w:szCs w:val="16"/>
        </w:rPr>
        <w:t xml:space="preserve">Figure 1 — Representative build-up: cash cost → AISC → AIC → fully-loaded. Blue = cash cost; orange = sustaining; violet = growth/exploration; magenta = tax &amp; finance.</w:t>
      </w:r>
    </w:p>
    <w:p>
      <w:r>
        <w:br w:type="page"/>
      </w:r>
    </w:p>
    <w:p>
      <w:pPr>
        <w:pStyle w:val="Heading1"/>
        <w:spacing w:after="120" w:before="320"/>
      </w:pPr>
      <w:r>
        <w:rPr>
          <w:b/>
          <w:bCs/>
          <w:color w:val="0b0b0b"/>
          <w:sz w:val="30"/>
          <w:szCs w:val="30"/>
        </w:rPr>
        <w:t xml:space="preserve">3.  The global cost map: by country and region</w:t>
      </w:r>
    </w:p>
    <w:p>
      <w:pPr>
        <w:spacing w:after="140" w:line="300"/>
      </w:pPr>
      <w:r>
        <w:rPr>
          <w:color w:val="0b0b0b"/>
          <w:sz w:val="21"/>
          <w:szCs w:val="21"/>
        </w:rPr>
        <w:t xml:space="preserve">Where an ounce comes from largely sets what it costs. The single biggest driver is geology — ore grade and depth — followed by energy, labour, currency and royalty regime. Deep, old, grade-depleted mines sit at the top of the cost curve; shallow open pits and by-product operations sit at the bottom.</w:t>
      </w:r>
    </w:p>
    <w:p>
      <w:pPr>
        <w:pStyle w:val="Heading2"/>
        <w:spacing w:after="90" w:before="220"/>
      </w:pPr>
      <w:r>
        <w:rPr>
          <w:b/>
          <w:bCs/>
          <w:color w:val="2a78d6"/>
          <w:sz w:val="24"/>
          <w:szCs w:val="24"/>
        </w:rPr>
        <w:t xml:space="preserve">Regional picture (WGC, Q3 2024)</w:t>
      </w:r>
    </w:p>
    <w:p>
      <w:pPr>
        <w:spacing w:after="140" w:line="300"/>
      </w:pPr>
      <w:r>
        <w:rPr>
          <w:color w:val="0b0b0b"/>
          <w:sz w:val="21"/>
          <w:szCs w:val="21"/>
        </w:rPr>
        <w:t xml:space="preserve">South America was the lowest-cost region at </w:t>
      </w:r>
      <w:r>
        <w:rPr>
          <w:b/>
          <w:bCs/>
          <w:color w:val="0b0b0b"/>
          <w:sz w:val="21"/>
          <w:szCs w:val="21"/>
        </w:rPr>
        <w:t xml:space="preserve">$1,197/oz</w:t>
      </w:r>
      <w:r>
        <w:rPr>
          <w:color w:val="0b0b0b"/>
          <w:sz w:val="21"/>
          <w:szCs w:val="21"/>
        </w:rPr>
        <w:t xml:space="preserve">, helped by large by-product-credit operations; Oceania (mostly Australia) sat at $1,464; North America at $1,508; and Africa was the most expensive at </w:t>
      </w:r>
      <w:r>
        <w:rPr>
          <w:b/>
          <w:bCs/>
          <w:color w:val="0b0b0b"/>
          <w:sz w:val="21"/>
          <w:szCs w:val="21"/>
        </w:rPr>
        <w:t xml:space="preserve">$1,532/oz</w:t>
      </w:r>
      <w:r>
        <w:rPr>
          <w:color w:val="0b0b0b"/>
          <w:sz w:val="21"/>
          <w:szCs w:val="21"/>
        </w:rPr>
        <w:t xml:space="preserve">, dragged up by South Africa’s ultra-deep mines. Company results show how wide the spread runs: Endeavour Mining averaged $1,433/oz across West Africa, while Harmony Gold’s South African operations averaged $1,806/oz. Russia and Central Asia are structurally low (roughly $900–1,300/oz) though reporting there is less transparent.</w:t>
      </w:r>
    </w:p>
    <w:p>
      <w:pPr>
        <w:pStyle w:val="Heading2"/>
        <w:spacing w:after="90" w:before="220"/>
      </w:pPr>
      <w:r>
        <w:rPr>
          <w:b/>
          <w:bCs/>
          <w:color w:val="2a78d6"/>
          <w:sz w:val="24"/>
          <w:szCs w:val="24"/>
        </w:rPr>
        <w:t xml:space="preserve">Leading producers</w:t>
      </w:r>
    </w:p>
    <w:p>
      <w:pPr>
        <w:spacing w:after="140" w:line="300"/>
      </w:pPr>
      <w:r>
        <w:rPr>
          <w:color w:val="0b0b0b"/>
          <w:sz w:val="21"/>
          <w:szCs w:val="21"/>
        </w:rPr>
        <w:t xml:space="preserve">Global mine production hit a record in 2025 — an estimated 3,672 tonnes (WGC), edging past the 2018 record — with total supply of 5,076 tonnes once 1,404 tonnes of recycling is added. The table shows the largest producers, their estimated cost position, and their in-ground reserves.</w:t>
      </w:r>
    </w:p>
    <w:tbl>
      <w:tblPr>
        <w:tblW w:type="dxa" w:w="9360"/>
        <w:tblBorders>
          <w:top w:val="single" w:color="d9d8d2" w:sz="2"/>
          <w:left w:val="none"/>
          <w:bottom w:val="single" w:color="d9d8d2" w:sz="2"/>
          <w:right w:val="none"/>
          <w:insideH w:val="single" w:color="d9d8d2" w:sz="2"/>
          <w:insideV w:val="none"/>
        </w:tblBorders>
      </w:tblPr>
      <w:tblGrid>
        <w:gridCol w:w="2160"/>
        <w:gridCol w:w="1860"/>
        <w:gridCol w:w="1560"/>
        <w:gridCol w:w="1560"/>
        <w:gridCol w:w="2220"/>
      </w:tblGrid>
      <w:tr>
        <w:trPr>
          <w:tblHeader/>
        </w:trPr>
        <w:tc>
          <w:tcPr>
            <w:tcW w:type="dxa" w:w="2160"/>
            <w:shd w:fill="eef3fb" w:val="clear"/>
            <w:tcMar>
              <w:top w:type="dxa" w:w="60"/>
              <w:left w:type="dxa" w:w="90"/>
              <w:bottom w:type="dxa" w:w="60"/>
              <w:right w:type="dxa" w:w="90"/>
            </w:tcMar>
          </w:tcPr>
          <w:p>
            <w:r>
              <w:rPr>
                <w:b/>
                <w:bCs/>
                <w:color w:val="0b0b0b"/>
                <w:sz w:val="18"/>
                <w:szCs w:val="18"/>
              </w:rPr>
              <w:t xml:space="preserve">Country</w:t>
            </w:r>
          </w:p>
        </w:tc>
        <w:tc>
          <w:tcPr>
            <w:tcW w:type="dxa" w:w="1860"/>
            <w:shd w:fill="eef3fb" w:val="clear"/>
            <w:tcMar>
              <w:top w:type="dxa" w:w="60"/>
              <w:left w:type="dxa" w:w="90"/>
              <w:bottom w:type="dxa" w:w="60"/>
              <w:right w:type="dxa" w:w="90"/>
            </w:tcMar>
          </w:tcPr>
          <w:p>
            <w:r>
              <w:rPr>
                <w:b/>
                <w:bCs/>
                <w:color w:val="0b0b0b"/>
                <w:sz w:val="18"/>
                <w:szCs w:val="18"/>
              </w:rPr>
              <w:t xml:space="preserve">Region</w:t>
            </w:r>
          </w:p>
        </w:tc>
        <w:tc>
          <w:tcPr>
            <w:tcW w:type="dxa" w:w="1560"/>
            <w:shd w:fill="eef3fb" w:val="clear"/>
            <w:tcMar>
              <w:top w:type="dxa" w:w="60"/>
              <w:left w:type="dxa" w:w="90"/>
              <w:bottom w:type="dxa" w:w="60"/>
              <w:right w:type="dxa" w:w="90"/>
            </w:tcMar>
          </w:tcPr>
          <w:p>
            <w:r>
              <w:rPr>
                <w:b/>
                <w:bCs/>
                <w:color w:val="0b0b0b"/>
                <w:sz w:val="18"/>
                <w:szCs w:val="18"/>
              </w:rPr>
              <w:t xml:space="preserve">Prod. 2024 (t)</w:t>
            </w:r>
          </w:p>
        </w:tc>
        <w:tc>
          <w:tcPr>
            <w:tcW w:type="dxa" w:w="1560"/>
            <w:shd w:fill="eef3fb" w:val="clear"/>
            <w:tcMar>
              <w:top w:type="dxa" w:w="60"/>
              <w:left w:type="dxa" w:w="90"/>
              <w:bottom w:type="dxa" w:w="60"/>
              <w:right w:type="dxa" w:w="90"/>
            </w:tcMar>
          </w:tcPr>
          <w:p>
            <w:r>
              <w:rPr>
                <w:b/>
                <w:bCs/>
                <w:color w:val="0b0b0b"/>
                <w:sz w:val="18"/>
                <w:szCs w:val="18"/>
              </w:rPr>
              <w:t xml:space="preserve">Est. AISC ($/oz)</w:t>
            </w:r>
          </w:p>
        </w:tc>
        <w:tc>
          <w:tcPr>
            <w:tcW w:type="dxa" w:w="2220"/>
            <w:shd w:fill="eef3fb" w:val="clear"/>
            <w:tcMar>
              <w:top w:type="dxa" w:w="60"/>
              <w:left w:type="dxa" w:w="90"/>
              <w:bottom w:type="dxa" w:w="60"/>
              <w:right w:type="dxa" w:w="90"/>
            </w:tcMar>
          </w:tcPr>
          <w:p>
            <w:r>
              <w:rPr>
                <w:b/>
                <w:bCs/>
                <w:color w:val="0b0b0b"/>
                <w:sz w:val="18"/>
                <w:szCs w:val="18"/>
              </w:rPr>
              <w:t xml:space="preserve">Reserves (t)</w:t>
            </w:r>
          </w:p>
        </w:tc>
      </w:tr>
      <w:tr>
        <w:tc>
          <w:tcPr>
            <w:tcW w:type="dxa" w:w="2160"/>
            <w:tcMar>
              <w:top w:type="dxa" w:w="50"/>
              <w:left w:type="dxa" w:w="90"/>
              <w:bottom w:type="dxa" w:w="50"/>
              <w:right w:type="dxa" w:w="90"/>
            </w:tcMar>
          </w:tcPr>
          <w:p>
            <w:r>
              <w:rPr>
                <w:b/>
                <w:bCs/>
                <w:color w:val="0b0b0b"/>
                <w:sz w:val="18"/>
                <w:szCs w:val="18"/>
              </w:rPr>
              <w:t xml:space="preserve">China</w:t>
            </w:r>
          </w:p>
        </w:tc>
        <w:tc>
          <w:tcPr>
            <w:tcW w:type="dxa" w:w="1860"/>
            <w:tcMar>
              <w:top w:type="dxa" w:w="50"/>
              <w:left w:type="dxa" w:w="90"/>
              <w:bottom w:type="dxa" w:w="50"/>
              <w:right w:type="dxa" w:w="90"/>
            </w:tcMar>
          </w:tcPr>
          <w:p>
            <w:r>
              <w:rPr>
                <w:b w:val="false"/>
                <w:bCs w:val="false"/>
                <w:color w:val="0b0b0b"/>
                <w:sz w:val="18"/>
                <w:szCs w:val="18"/>
              </w:rPr>
              <w:t xml:space="preserve">Asia</w:t>
            </w:r>
          </w:p>
        </w:tc>
        <w:tc>
          <w:tcPr>
            <w:tcW w:type="dxa" w:w="1560"/>
            <w:tcMar>
              <w:top w:type="dxa" w:w="50"/>
              <w:left w:type="dxa" w:w="90"/>
              <w:bottom w:type="dxa" w:w="50"/>
              <w:right w:type="dxa" w:w="90"/>
            </w:tcMar>
          </w:tcPr>
          <w:p>
            <w:pPr>
              <w:jc w:val="right"/>
            </w:pPr>
            <w:r>
              <w:rPr>
                <w:b w:val="false"/>
                <w:bCs w:val="false"/>
                <w:color w:val="0b0b0b"/>
                <w:sz w:val="18"/>
                <w:szCs w:val="18"/>
              </w:rPr>
              <w:t xml:space="preserve">380</w:t>
            </w:r>
          </w:p>
        </w:tc>
        <w:tc>
          <w:tcPr>
            <w:tcW w:type="dxa" w:w="1560"/>
            <w:tcMar>
              <w:top w:type="dxa" w:w="50"/>
              <w:left w:type="dxa" w:w="90"/>
              <w:bottom w:type="dxa" w:w="50"/>
              <w:right w:type="dxa" w:w="90"/>
            </w:tcMar>
          </w:tcPr>
          <w:p>
            <w:pPr>
              <w:jc w:val="right"/>
            </w:pPr>
            <w:r>
              <w:rPr>
                <w:b w:val="false"/>
                <w:bCs w:val="false"/>
                <w:color w:val="0b0b0b"/>
                <w:sz w:val="18"/>
                <w:szCs w:val="18"/>
              </w:rPr>
              <w:t xml:space="preserve">1,500</w:t>
            </w:r>
          </w:p>
        </w:tc>
        <w:tc>
          <w:tcPr>
            <w:tcW w:type="dxa" w:w="2220"/>
            <w:tcMar>
              <w:top w:type="dxa" w:w="50"/>
              <w:left w:type="dxa" w:w="90"/>
              <w:bottom w:type="dxa" w:w="50"/>
              <w:right w:type="dxa" w:w="90"/>
            </w:tcMar>
          </w:tcPr>
          <w:p>
            <w:pPr>
              <w:jc w:val="right"/>
            </w:pPr>
            <w:r>
              <w:rPr>
                <w:b w:val="false"/>
                <w:bCs w:val="false"/>
                <w:color w:val="0b0b0b"/>
                <w:sz w:val="18"/>
                <w:szCs w:val="18"/>
              </w:rPr>
              <w:t xml:space="preserve">3,100</w:t>
            </w:r>
          </w:p>
        </w:tc>
      </w:tr>
      <w:tr>
        <w:tc>
          <w:tcPr>
            <w:tcW w:type="dxa" w:w="2160"/>
            <w:tcMar>
              <w:top w:type="dxa" w:w="50"/>
              <w:left w:type="dxa" w:w="90"/>
              <w:bottom w:type="dxa" w:w="50"/>
              <w:right w:type="dxa" w:w="90"/>
            </w:tcMar>
          </w:tcPr>
          <w:p>
            <w:r>
              <w:rPr>
                <w:b/>
                <w:bCs/>
                <w:color w:val="0b0b0b"/>
                <w:sz w:val="18"/>
                <w:szCs w:val="18"/>
              </w:rPr>
              <w:t xml:space="preserve">Russia</w:t>
            </w:r>
          </w:p>
        </w:tc>
        <w:tc>
          <w:tcPr>
            <w:tcW w:type="dxa" w:w="1860"/>
            <w:tcMar>
              <w:top w:type="dxa" w:w="50"/>
              <w:left w:type="dxa" w:w="90"/>
              <w:bottom w:type="dxa" w:w="50"/>
              <w:right w:type="dxa" w:w="90"/>
            </w:tcMar>
          </w:tcPr>
          <w:p>
            <w:r>
              <w:rPr>
                <w:b w:val="false"/>
                <w:bCs w:val="false"/>
                <w:color w:val="0b0b0b"/>
                <w:sz w:val="18"/>
                <w:szCs w:val="18"/>
              </w:rPr>
              <w:t xml:space="preserve">CIS</w:t>
            </w:r>
          </w:p>
        </w:tc>
        <w:tc>
          <w:tcPr>
            <w:tcW w:type="dxa" w:w="1560"/>
            <w:tcMar>
              <w:top w:type="dxa" w:w="50"/>
              <w:left w:type="dxa" w:w="90"/>
              <w:bottom w:type="dxa" w:w="50"/>
              <w:right w:type="dxa" w:w="90"/>
            </w:tcMar>
          </w:tcPr>
          <w:p>
            <w:pPr>
              <w:jc w:val="right"/>
            </w:pPr>
            <w:r>
              <w:rPr>
                <w:b w:val="false"/>
                <w:bCs w:val="false"/>
                <w:color w:val="0b0b0b"/>
                <w:sz w:val="18"/>
                <w:szCs w:val="18"/>
              </w:rPr>
              <w:t xml:space="preserve">310</w:t>
            </w:r>
          </w:p>
        </w:tc>
        <w:tc>
          <w:tcPr>
            <w:tcW w:type="dxa" w:w="1560"/>
            <w:tcMar>
              <w:top w:type="dxa" w:w="50"/>
              <w:left w:type="dxa" w:w="90"/>
              <w:bottom w:type="dxa" w:w="50"/>
              <w:right w:type="dxa" w:w="90"/>
            </w:tcMar>
          </w:tcPr>
          <w:p>
            <w:pPr>
              <w:jc w:val="right"/>
            </w:pPr>
            <w:r>
              <w:rPr>
                <w:b w:val="false"/>
                <w:bCs w:val="false"/>
                <w:color w:val="0b0b0b"/>
                <w:sz w:val="18"/>
                <w:szCs w:val="18"/>
              </w:rPr>
              <w:t xml:space="preserve">1,150</w:t>
            </w:r>
          </w:p>
        </w:tc>
        <w:tc>
          <w:tcPr>
            <w:tcW w:type="dxa" w:w="2220"/>
            <w:tcMar>
              <w:top w:type="dxa" w:w="50"/>
              <w:left w:type="dxa" w:w="90"/>
              <w:bottom w:type="dxa" w:w="50"/>
              <w:right w:type="dxa" w:w="90"/>
            </w:tcMar>
          </w:tcPr>
          <w:p>
            <w:pPr>
              <w:jc w:val="right"/>
            </w:pPr>
            <w:r>
              <w:rPr>
                <w:b w:val="false"/>
                <w:bCs w:val="false"/>
                <w:color w:val="0b0b0b"/>
                <w:sz w:val="18"/>
                <w:szCs w:val="18"/>
              </w:rPr>
              <w:t xml:space="preserve">12,000</w:t>
            </w:r>
          </w:p>
        </w:tc>
      </w:tr>
      <w:tr>
        <w:tc>
          <w:tcPr>
            <w:tcW w:type="dxa" w:w="2160"/>
            <w:tcMar>
              <w:top w:type="dxa" w:w="50"/>
              <w:left w:type="dxa" w:w="90"/>
              <w:bottom w:type="dxa" w:w="50"/>
              <w:right w:type="dxa" w:w="90"/>
            </w:tcMar>
          </w:tcPr>
          <w:p>
            <w:r>
              <w:rPr>
                <w:b/>
                <w:bCs/>
                <w:color w:val="0b0b0b"/>
                <w:sz w:val="18"/>
                <w:szCs w:val="18"/>
              </w:rPr>
              <w:t xml:space="preserve">Australia</w:t>
            </w:r>
          </w:p>
        </w:tc>
        <w:tc>
          <w:tcPr>
            <w:tcW w:type="dxa" w:w="1860"/>
            <w:tcMar>
              <w:top w:type="dxa" w:w="50"/>
              <w:left w:type="dxa" w:w="90"/>
              <w:bottom w:type="dxa" w:w="50"/>
              <w:right w:type="dxa" w:w="90"/>
            </w:tcMar>
          </w:tcPr>
          <w:p>
            <w:r>
              <w:rPr>
                <w:b w:val="false"/>
                <w:bCs w:val="false"/>
                <w:color w:val="0b0b0b"/>
                <w:sz w:val="18"/>
                <w:szCs w:val="18"/>
              </w:rPr>
              <w:t xml:space="preserve">Oceania</w:t>
            </w:r>
          </w:p>
        </w:tc>
        <w:tc>
          <w:tcPr>
            <w:tcW w:type="dxa" w:w="1560"/>
            <w:tcMar>
              <w:top w:type="dxa" w:w="50"/>
              <w:left w:type="dxa" w:w="90"/>
              <w:bottom w:type="dxa" w:w="50"/>
              <w:right w:type="dxa" w:w="90"/>
            </w:tcMar>
          </w:tcPr>
          <w:p>
            <w:pPr>
              <w:jc w:val="right"/>
            </w:pPr>
            <w:r>
              <w:rPr>
                <w:b w:val="false"/>
                <w:bCs w:val="false"/>
                <w:color w:val="0b0b0b"/>
                <w:sz w:val="18"/>
                <w:szCs w:val="18"/>
              </w:rPr>
              <w:t xml:space="preserve">290</w:t>
            </w:r>
          </w:p>
        </w:tc>
        <w:tc>
          <w:tcPr>
            <w:tcW w:type="dxa" w:w="1560"/>
            <w:tcMar>
              <w:top w:type="dxa" w:w="50"/>
              <w:left w:type="dxa" w:w="90"/>
              <w:bottom w:type="dxa" w:w="50"/>
              <w:right w:type="dxa" w:w="90"/>
            </w:tcMar>
          </w:tcPr>
          <w:p>
            <w:pPr>
              <w:jc w:val="right"/>
            </w:pPr>
            <w:r>
              <w:rPr>
                <w:b w:val="false"/>
                <w:bCs w:val="false"/>
                <w:color w:val="0b0b0b"/>
                <w:sz w:val="18"/>
                <w:szCs w:val="18"/>
              </w:rPr>
              <w:t xml:space="preserve">1,700</w:t>
            </w:r>
          </w:p>
        </w:tc>
        <w:tc>
          <w:tcPr>
            <w:tcW w:type="dxa" w:w="2220"/>
            <w:tcMar>
              <w:top w:type="dxa" w:w="50"/>
              <w:left w:type="dxa" w:w="90"/>
              <w:bottom w:type="dxa" w:w="50"/>
              <w:right w:type="dxa" w:w="90"/>
            </w:tcMar>
          </w:tcPr>
          <w:p>
            <w:pPr>
              <w:jc w:val="right"/>
            </w:pPr>
            <w:r>
              <w:rPr>
                <w:b w:val="false"/>
                <w:bCs w:val="false"/>
                <w:color w:val="0b0b0b"/>
                <w:sz w:val="18"/>
                <w:szCs w:val="18"/>
              </w:rPr>
              <w:t xml:space="preserve">12,000</w:t>
            </w:r>
          </w:p>
        </w:tc>
      </w:tr>
      <w:tr>
        <w:tc>
          <w:tcPr>
            <w:tcW w:type="dxa" w:w="2160"/>
            <w:tcMar>
              <w:top w:type="dxa" w:w="50"/>
              <w:left w:type="dxa" w:w="90"/>
              <w:bottom w:type="dxa" w:w="50"/>
              <w:right w:type="dxa" w:w="90"/>
            </w:tcMar>
          </w:tcPr>
          <w:p>
            <w:r>
              <w:rPr>
                <w:b/>
                <w:bCs/>
                <w:color w:val="0b0b0b"/>
                <w:sz w:val="18"/>
                <w:szCs w:val="18"/>
              </w:rPr>
              <w:t xml:space="preserve">Canada</w:t>
            </w:r>
          </w:p>
        </w:tc>
        <w:tc>
          <w:tcPr>
            <w:tcW w:type="dxa" w:w="1860"/>
            <w:tcMar>
              <w:top w:type="dxa" w:w="50"/>
              <w:left w:type="dxa" w:w="90"/>
              <w:bottom w:type="dxa" w:w="50"/>
              <w:right w:type="dxa" w:w="90"/>
            </w:tcMar>
          </w:tcPr>
          <w:p>
            <w:r>
              <w:rPr>
                <w:b w:val="false"/>
                <w:bCs w:val="false"/>
                <w:color w:val="0b0b0b"/>
                <w:sz w:val="18"/>
                <w:szCs w:val="18"/>
              </w:rPr>
              <w:t xml:space="preserve">North America</w:t>
            </w:r>
          </w:p>
        </w:tc>
        <w:tc>
          <w:tcPr>
            <w:tcW w:type="dxa" w:w="1560"/>
            <w:tcMar>
              <w:top w:type="dxa" w:w="50"/>
              <w:left w:type="dxa" w:w="90"/>
              <w:bottom w:type="dxa" w:w="50"/>
              <w:right w:type="dxa" w:w="90"/>
            </w:tcMar>
          </w:tcPr>
          <w:p>
            <w:pPr>
              <w:jc w:val="right"/>
            </w:pPr>
            <w:r>
              <w:rPr>
                <w:b w:val="false"/>
                <w:bCs w:val="false"/>
                <w:color w:val="0b0b0b"/>
                <w:sz w:val="18"/>
                <w:szCs w:val="18"/>
              </w:rPr>
              <w:t xml:space="preserve">200</w:t>
            </w:r>
          </w:p>
        </w:tc>
        <w:tc>
          <w:tcPr>
            <w:tcW w:type="dxa" w:w="1560"/>
            <w:tcMar>
              <w:top w:type="dxa" w:w="50"/>
              <w:left w:type="dxa" w:w="90"/>
              <w:bottom w:type="dxa" w:w="50"/>
              <w:right w:type="dxa" w:w="90"/>
            </w:tcMar>
          </w:tcPr>
          <w:p>
            <w:pPr>
              <w:jc w:val="right"/>
            </w:pPr>
            <w:r>
              <w:rPr>
                <w:b w:val="false"/>
                <w:bCs w:val="false"/>
                <w:color w:val="0b0b0b"/>
                <w:sz w:val="18"/>
                <w:szCs w:val="18"/>
              </w:rPr>
              <w:t xml:space="preserve">1,500</w:t>
            </w:r>
          </w:p>
        </w:tc>
        <w:tc>
          <w:tcPr>
            <w:tcW w:type="dxa" w:w="2220"/>
            <w:tcMar>
              <w:top w:type="dxa" w:w="50"/>
              <w:left w:type="dxa" w:w="90"/>
              <w:bottom w:type="dxa" w:w="50"/>
              <w:right w:type="dxa" w:w="90"/>
            </w:tcMar>
          </w:tcPr>
          <w:p>
            <w:pPr>
              <w:jc w:val="right"/>
            </w:pPr>
            <w:r>
              <w:rPr>
                <w:b w:val="false"/>
                <w:bCs w:val="false"/>
                <w:color w:val="0b0b0b"/>
                <w:sz w:val="18"/>
                <w:szCs w:val="18"/>
              </w:rPr>
              <w:t xml:space="preserve">3,200</w:t>
            </w:r>
          </w:p>
        </w:tc>
      </w:tr>
      <w:tr>
        <w:tc>
          <w:tcPr>
            <w:tcW w:type="dxa" w:w="2160"/>
            <w:tcMar>
              <w:top w:type="dxa" w:w="50"/>
              <w:left w:type="dxa" w:w="90"/>
              <w:bottom w:type="dxa" w:w="50"/>
              <w:right w:type="dxa" w:w="90"/>
            </w:tcMar>
          </w:tcPr>
          <w:p>
            <w:r>
              <w:rPr>
                <w:b/>
                <w:bCs/>
                <w:color w:val="0b0b0b"/>
                <w:sz w:val="18"/>
                <w:szCs w:val="18"/>
              </w:rPr>
              <w:t xml:space="preserve">United States</w:t>
            </w:r>
          </w:p>
        </w:tc>
        <w:tc>
          <w:tcPr>
            <w:tcW w:type="dxa" w:w="1860"/>
            <w:tcMar>
              <w:top w:type="dxa" w:w="50"/>
              <w:left w:type="dxa" w:w="90"/>
              <w:bottom w:type="dxa" w:w="50"/>
              <w:right w:type="dxa" w:w="90"/>
            </w:tcMar>
          </w:tcPr>
          <w:p>
            <w:r>
              <w:rPr>
                <w:b w:val="false"/>
                <w:bCs w:val="false"/>
                <w:color w:val="0b0b0b"/>
                <w:sz w:val="18"/>
                <w:szCs w:val="18"/>
              </w:rPr>
              <w:t xml:space="preserve">North America</w:t>
            </w:r>
          </w:p>
        </w:tc>
        <w:tc>
          <w:tcPr>
            <w:tcW w:type="dxa" w:w="1560"/>
            <w:tcMar>
              <w:top w:type="dxa" w:w="50"/>
              <w:left w:type="dxa" w:w="90"/>
              <w:bottom w:type="dxa" w:w="50"/>
              <w:right w:type="dxa" w:w="90"/>
            </w:tcMar>
          </w:tcPr>
          <w:p>
            <w:pPr>
              <w:jc w:val="right"/>
            </w:pPr>
            <w:r>
              <w:rPr>
                <w:b w:val="false"/>
                <w:bCs w:val="false"/>
                <w:color w:val="0b0b0b"/>
                <w:sz w:val="18"/>
                <w:szCs w:val="18"/>
              </w:rPr>
              <w:t xml:space="preserve">160</w:t>
            </w:r>
          </w:p>
        </w:tc>
        <w:tc>
          <w:tcPr>
            <w:tcW w:type="dxa" w:w="1560"/>
            <w:tcMar>
              <w:top w:type="dxa" w:w="50"/>
              <w:left w:type="dxa" w:w="90"/>
              <w:bottom w:type="dxa" w:w="50"/>
              <w:right w:type="dxa" w:w="90"/>
            </w:tcMar>
          </w:tcPr>
          <w:p>
            <w:pPr>
              <w:jc w:val="right"/>
            </w:pPr>
            <w:r>
              <w:rPr>
                <w:b w:val="false"/>
                <w:bCs w:val="false"/>
                <w:color w:val="0b0b0b"/>
                <w:sz w:val="18"/>
                <w:szCs w:val="18"/>
              </w:rPr>
              <w:t xml:space="preserve">1,650</w:t>
            </w:r>
          </w:p>
        </w:tc>
        <w:tc>
          <w:tcPr>
            <w:tcW w:type="dxa" w:w="2220"/>
            <w:tcMar>
              <w:top w:type="dxa" w:w="50"/>
              <w:left w:type="dxa" w:w="90"/>
              <w:bottom w:type="dxa" w:w="50"/>
              <w:right w:type="dxa" w:w="90"/>
            </w:tcMar>
          </w:tcPr>
          <w:p>
            <w:pPr>
              <w:jc w:val="right"/>
            </w:pPr>
            <w:r>
              <w:rPr>
                <w:b w:val="false"/>
                <w:bCs w:val="false"/>
                <w:color w:val="0b0b0b"/>
                <w:sz w:val="18"/>
                <w:szCs w:val="18"/>
              </w:rPr>
              <w:t xml:space="preserve">3,000</w:t>
            </w:r>
          </w:p>
        </w:tc>
      </w:tr>
      <w:tr>
        <w:tc>
          <w:tcPr>
            <w:tcW w:type="dxa" w:w="2160"/>
            <w:tcMar>
              <w:top w:type="dxa" w:w="50"/>
              <w:left w:type="dxa" w:w="90"/>
              <w:bottom w:type="dxa" w:w="50"/>
              <w:right w:type="dxa" w:w="90"/>
            </w:tcMar>
          </w:tcPr>
          <w:p>
            <w:r>
              <w:rPr>
                <w:b/>
                <w:bCs/>
                <w:color w:val="0b0b0b"/>
                <w:sz w:val="18"/>
                <w:szCs w:val="18"/>
              </w:rPr>
              <w:t xml:space="preserve">Ghana</w:t>
            </w:r>
          </w:p>
        </w:tc>
        <w:tc>
          <w:tcPr>
            <w:tcW w:type="dxa" w:w="1860"/>
            <w:tcMar>
              <w:top w:type="dxa" w:w="50"/>
              <w:left w:type="dxa" w:w="90"/>
              <w:bottom w:type="dxa" w:w="50"/>
              <w:right w:type="dxa" w:w="90"/>
            </w:tcMar>
          </w:tcPr>
          <w:p>
            <w:r>
              <w:rPr>
                <w:b w:val="false"/>
                <w:bCs w:val="false"/>
                <w:color w:val="0b0b0b"/>
                <w:sz w:val="18"/>
                <w:szCs w:val="18"/>
              </w:rPr>
              <w:t xml:space="preserve">Africa</w:t>
            </w:r>
          </w:p>
        </w:tc>
        <w:tc>
          <w:tcPr>
            <w:tcW w:type="dxa" w:w="1560"/>
            <w:tcMar>
              <w:top w:type="dxa" w:w="50"/>
              <w:left w:type="dxa" w:w="90"/>
              <w:bottom w:type="dxa" w:w="50"/>
              <w:right w:type="dxa" w:w="90"/>
            </w:tcMar>
          </w:tcPr>
          <w:p>
            <w:pPr>
              <w:jc w:val="right"/>
            </w:pPr>
            <w:r>
              <w:rPr>
                <w:b w:val="false"/>
                <w:bCs w:val="false"/>
                <w:color w:val="0b0b0b"/>
                <w:sz w:val="18"/>
                <w:szCs w:val="18"/>
              </w:rPr>
              <w:t xml:space="preserve">130</w:t>
            </w:r>
          </w:p>
        </w:tc>
        <w:tc>
          <w:tcPr>
            <w:tcW w:type="dxa" w:w="1560"/>
            <w:tcMar>
              <w:top w:type="dxa" w:w="50"/>
              <w:left w:type="dxa" w:w="90"/>
              <w:bottom w:type="dxa" w:w="50"/>
              <w:right w:type="dxa" w:w="90"/>
            </w:tcMar>
          </w:tcPr>
          <w:p>
            <w:pPr>
              <w:jc w:val="right"/>
            </w:pPr>
            <w:r>
              <w:rPr>
                <w:b w:val="false"/>
                <w:bCs w:val="false"/>
                <w:color w:val="0b0b0b"/>
                <w:sz w:val="18"/>
                <w:szCs w:val="18"/>
              </w:rPr>
              <w:t xml:space="preserve">1,550</w:t>
            </w:r>
          </w:p>
        </w:tc>
        <w:tc>
          <w:tcPr>
            <w:tcW w:type="dxa" w:w="2220"/>
            <w:tcMar>
              <w:top w:type="dxa" w:w="50"/>
              <w:left w:type="dxa" w:w="90"/>
              <w:bottom w:type="dxa" w:w="50"/>
              <w:right w:type="dxa" w:w="90"/>
            </w:tcMar>
          </w:tcPr>
          <w:p>
            <w:pPr>
              <w:jc w:val="right"/>
            </w:pPr>
            <w:r>
              <w:rPr>
                <w:b w:val="false"/>
                <w:bCs w:val="false"/>
                <w:color w:val="0b0b0b"/>
                <w:sz w:val="18"/>
                <w:szCs w:val="18"/>
              </w:rPr>
              <w:t xml:space="preserve">1,000</w:t>
            </w:r>
          </w:p>
        </w:tc>
      </w:tr>
      <w:tr>
        <w:tc>
          <w:tcPr>
            <w:tcW w:type="dxa" w:w="2160"/>
            <w:tcMar>
              <w:top w:type="dxa" w:w="50"/>
              <w:left w:type="dxa" w:w="90"/>
              <w:bottom w:type="dxa" w:w="50"/>
              <w:right w:type="dxa" w:w="90"/>
            </w:tcMar>
          </w:tcPr>
          <w:p>
            <w:r>
              <w:rPr>
                <w:b/>
                <w:bCs/>
                <w:color w:val="0b0b0b"/>
                <w:sz w:val="18"/>
                <w:szCs w:val="18"/>
              </w:rPr>
              <w:t xml:space="preserve">Kazakhstan</w:t>
            </w:r>
          </w:p>
        </w:tc>
        <w:tc>
          <w:tcPr>
            <w:tcW w:type="dxa" w:w="1860"/>
            <w:tcMar>
              <w:top w:type="dxa" w:w="50"/>
              <w:left w:type="dxa" w:w="90"/>
              <w:bottom w:type="dxa" w:w="50"/>
              <w:right w:type="dxa" w:w="90"/>
            </w:tcMar>
          </w:tcPr>
          <w:p>
            <w:r>
              <w:rPr>
                <w:b w:val="false"/>
                <w:bCs w:val="false"/>
                <w:color w:val="0b0b0b"/>
                <w:sz w:val="18"/>
                <w:szCs w:val="18"/>
              </w:rPr>
              <w:t xml:space="preserve">CIS</w:t>
            </w:r>
          </w:p>
        </w:tc>
        <w:tc>
          <w:tcPr>
            <w:tcW w:type="dxa" w:w="1560"/>
            <w:tcMar>
              <w:top w:type="dxa" w:w="50"/>
              <w:left w:type="dxa" w:w="90"/>
              <w:bottom w:type="dxa" w:w="50"/>
              <w:right w:type="dxa" w:w="90"/>
            </w:tcMar>
          </w:tcPr>
          <w:p>
            <w:pPr>
              <w:jc w:val="right"/>
            </w:pPr>
            <w:r>
              <w:rPr>
                <w:b w:val="false"/>
                <w:bCs w:val="false"/>
                <w:color w:val="0b0b0b"/>
                <w:sz w:val="18"/>
                <w:szCs w:val="18"/>
              </w:rPr>
              <w:t xml:space="preserve">130</w:t>
            </w:r>
          </w:p>
        </w:tc>
        <w:tc>
          <w:tcPr>
            <w:tcW w:type="dxa" w:w="1560"/>
            <w:tcMar>
              <w:top w:type="dxa" w:w="50"/>
              <w:left w:type="dxa" w:w="90"/>
              <w:bottom w:type="dxa" w:w="50"/>
              <w:right w:type="dxa" w:w="90"/>
            </w:tcMar>
          </w:tcPr>
          <w:p>
            <w:pPr>
              <w:jc w:val="right"/>
            </w:pPr>
            <w:r>
              <w:rPr>
                <w:b w:val="false"/>
                <w:bCs w:val="false"/>
                <w:color w:val="0b0b0b"/>
                <w:sz w:val="18"/>
                <w:szCs w:val="18"/>
              </w:rPr>
              <w:t xml:space="preserve">1,250</w:t>
            </w:r>
          </w:p>
        </w:tc>
        <w:tc>
          <w:tcPr>
            <w:tcW w:type="dxa" w:w="2220"/>
            <w:tcMar>
              <w:top w:type="dxa" w:w="50"/>
              <w:left w:type="dxa" w:w="90"/>
              <w:bottom w:type="dxa" w:w="50"/>
              <w:right w:type="dxa" w:w="90"/>
            </w:tcMar>
          </w:tcPr>
          <w:p>
            <w:pPr>
              <w:jc w:val="right"/>
            </w:pPr>
            <w:r>
              <w:rPr>
                <w:b w:val="false"/>
                <w:bCs w:val="false"/>
                <w:color w:val="0b0b0b"/>
                <w:sz w:val="18"/>
                <w:szCs w:val="18"/>
              </w:rPr>
              <w:t xml:space="preserve">2,300</w:t>
            </w:r>
          </w:p>
        </w:tc>
      </w:tr>
      <w:tr>
        <w:tc>
          <w:tcPr>
            <w:tcW w:type="dxa" w:w="2160"/>
            <w:tcMar>
              <w:top w:type="dxa" w:w="50"/>
              <w:left w:type="dxa" w:w="90"/>
              <w:bottom w:type="dxa" w:w="50"/>
              <w:right w:type="dxa" w:w="90"/>
            </w:tcMar>
          </w:tcPr>
          <w:p>
            <w:r>
              <w:rPr>
                <w:b/>
                <w:bCs/>
                <w:color w:val="0b0b0b"/>
                <w:sz w:val="18"/>
                <w:szCs w:val="18"/>
              </w:rPr>
              <w:t xml:space="preserve">Mexico</w:t>
            </w:r>
          </w:p>
        </w:tc>
        <w:tc>
          <w:tcPr>
            <w:tcW w:type="dxa" w:w="1860"/>
            <w:tcMar>
              <w:top w:type="dxa" w:w="50"/>
              <w:left w:type="dxa" w:w="90"/>
              <w:bottom w:type="dxa" w:w="50"/>
              <w:right w:type="dxa" w:w="90"/>
            </w:tcMar>
          </w:tcPr>
          <w:p>
            <w:r>
              <w:rPr>
                <w:b w:val="false"/>
                <w:bCs w:val="false"/>
                <w:color w:val="0b0b0b"/>
                <w:sz w:val="18"/>
                <w:szCs w:val="18"/>
              </w:rPr>
              <w:t xml:space="preserve">Latin America</w:t>
            </w:r>
          </w:p>
        </w:tc>
        <w:tc>
          <w:tcPr>
            <w:tcW w:type="dxa" w:w="1560"/>
            <w:tcMar>
              <w:top w:type="dxa" w:w="50"/>
              <w:left w:type="dxa" w:w="90"/>
              <w:bottom w:type="dxa" w:w="50"/>
              <w:right w:type="dxa" w:w="90"/>
            </w:tcMar>
          </w:tcPr>
          <w:p>
            <w:pPr>
              <w:jc w:val="right"/>
            </w:pPr>
            <w:r>
              <w:rPr>
                <w:b w:val="false"/>
                <w:bCs w:val="false"/>
                <w:color w:val="0b0b0b"/>
                <w:sz w:val="18"/>
                <w:szCs w:val="18"/>
              </w:rPr>
              <w:t xml:space="preserve">130</w:t>
            </w:r>
          </w:p>
        </w:tc>
        <w:tc>
          <w:tcPr>
            <w:tcW w:type="dxa" w:w="1560"/>
            <w:tcMar>
              <w:top w:type="dxa" w:w="50"/>
              <w:left w:type="dxa" w:w="90"/>
              <w:bottom w:type="dxa" w:w="50"/>
              <w:right w:type="dxa" w:w="90"/>
            </w:tcMar>
          </w:tcPr>
          <w:p>
            <w:pPr>
              <w:jc w:val="right"/>
            </w:pPr>
            <w:r>
              <w:rPr>
                <w:b w:val="false"/>
                <w:bCs w:val="false"/>
                <w:color w:val="0b0b0b"/>
                <w:sz w:val="18"/>
                <w:szCs w:val="18"/>
              </w:rPr>
              <w:t xml:space="preserve">1,400</w:t>
            </w:r>
          </w:p>
        </w:tc>
        <w:tc>
          <w:tcPr>
            <w:tcW w:type="dxa" w:w="2220"/>
            <w:tcMar>
              <w:top w:type="dxa" w:w="50"/>
              <w:left w:type="dxa" w:w="90"/>
              <w:bottom w:type="dxa" w:w="50"/>
              <w:right w:type="dxa" w:w="90"/>
            </w:tcMar>
          </w:tcPr>
          <w:p>
            <w:pPr>
              <w:jc w:val="right"/>
            </w:pPr>
            <w:r>
              <w:rPr>
                <w:b w:val="false"/>
                <w:bCs w:val="false"/>
                <w:color w:val="0b0b0b"/>
                <w:sz w:val="18"/>
                <w:szCs w:val="18"/>
              </w:rPr>
              <w:t xml:space="preserve">1,400</w:t>
            </w:r>
          </w:p>
        </w:tc>
      </w:tr>
      <w:tr>
        <w:tc>
          <w:tcPr>
            <w:tcW w:type="dxa" w:w="2160"/>
            <w:tcMar>
              <w:top w:type="dxa" w:w="50"/>
              <w:left w:type="dxa" w:w="90"/>
              <w:bottom w:type="dxa" w:w="50"/>
              <w:right w:type="dxa" w:w="90"/>
            </w:tcMar>
          </w:tcPr>
          <w:p>
            <w:r>
              <w:rPr>
                <w:b/>
                <w:bCs/>
                <w:color w:val="0b0b0b"/>
                <w:sz w:val="18"/>
                <w:szCs w:val="18"/>
              </w:rPr>
              <w:t xml:space="preserve">Uzbekistan</w:t>
            </w:r>
          </w:p>
        </w:tc>
        <w:tc>
          <w:tcPr>
            <w:tcW w:type="dxa" w:w="1860"/>
            <w:tcMar>
              <w:top w:type="dxa" w:w="50"/>
              <w:left w:type="dxa" w:w="90"/>
              <w:bottom w:type="dxa" w:w="50"/>
              <w:right w:type="dxa" w:w="90"/>
            </w:tcMar>
          </w:tcPr>
          <w:p>
            <w:r>
              <w:rPr>
                <w:b w:val="false"/>
                <w:bCs w:val="false"/>
                <w:color w:val="0b0b0b"/>
                <w:sz w:val="18"/>
                <w:szCs w:val="18"/>
              </w:rPr>
              <w:t xml:space="preserve">CIS</w:t>
            </w:r>
          </w:p>
        </w:tc>
        <w:tc>
          <w:tcPr>
            <w:tcW w:type="dxa" w:w="1560"/>
            <w:tcMar>
              <w:top w:type="dxa" w:w="50"/>
              <w:left w:type="dxa" w:w="90"/>
              <w:bottom w:type="dxa" w:w="50"/>
              <w:right w:type="dxa" w:w="90"/>
            </w:tcMar>
          </w:tcPr>
          <w:p>
            <w:pPr>
              <w:jc w:val="right"/>
            </w:pPr>
            <w:r>
              <w:rPr>
                <w:b w:val="false"/>
                <w:bCs w:val="false"/>
                <w:color w:val="0b0b0b"/>
                <w:sz w:val="18"/>
                <w:szCs w:val="18"/>
              </w:rPr>
              <w:t xml:space="preserve">120</w:t>
            </w:r>
          </w:p>
        </w:tc>
        <w:tc>
          <w:tcPr>
            <w:tcW w:type="dxa" w:w="1560"/>
            <w:tcMar>
              <w:top w:type="dxa" w:w="50"/>
              <w:left w:type="dxa" w:w="90"/>
              <w:bottom w:type="dxa" w:w="50"/>
              <w:right w:type="dxa" w:w="90"/>
            </w:tcMar>
          </w:tcPr>
          <w:p>
            <w:pPr>
              <w:jc w:val="right"/>
            </w:pPr>
            <w:r>
              <w:rPr>
                <w:b w:val="false"/>
                <w:bCs w:val="false"/>
                <w:color w:val="0b0b0b"/>
                <w:sz w:val="18"/>
                <w:szCs w:val="18"/>
              </w:rPr>
              <w:t xml:space="preserve">1,150</w:t>
            </w:r>
          </w:p>
        </w:tc>
        <w:tc>
          <w:tcPr>
            <w:tcW w:type="dxa" w:w="2220"/>
            <w:tcMar>
              <w:top w:type="dxa" w:w="50"/>
              <w:left w:type="dxa" w:w="90"/>
              <w:bottom w:type="dxa" w:w="50"/>
              <w:right w:type="dxa" w:w="90"/>
            </w:tcMar>
          </w:tcPr>
          <w:p>
            <w:pPr>
              <w:jc w:val="right"/>
            </w:pPr>
            <w:r>
              <w:rPr>
                <w:b w:val="false"/>
                <w:bCs w:val="false"/>
                <w:color w:val="0b0b0b"/>
                <w:sz w:val="18"/>
                <w:szCs w:val="18"/>
              </w:rPr>
              <w:t xml:space="preserve">1,800</w:t>
            </w:r>
          </w:p>
        </w:tc>
      </w:tr>
      <w:tr>
        <w:tc>
          <w:tcPr>
            <w:tcW w:type="dxa" w:w="2160"/>
            <w:tcMar>
              <w:top w:type="dxa" w:w="50"/>
              <w:left w:type="dxa" w:w="90"/>
              <w:bottom w:type="dxa" w:w="50"/>
              <w:right w:type="dxa" w:w="90"/>
            </w:tcMar>
          </w:tcPr>
          <w:p>
            <w:r>
              <w:rPr>
                <w:b/>
                <w:bCs/>
                <w:color w:val="0b0b0b"/>
                <w:sz w:val="18"/>
                <w:szCs w:val="18"/>
              </w:rPr>
              <w:t xml:space="preserve">South Africa</w:t>
            </w:r>
          </w:p>
        </w:tc>
        <w:tc>
          <w:tcPr>
            <w:tcW w:type="dxa" w:w="1860"/>
            <w:tcMar>
              <w:top w:type="dxa" w:w="50"/>
              <w:left w:type="dxa" w:w="90"/>
              <w:bottom w:type="dxa" w:w="50"/>
              <w:right w:type="dxa" w:w="90"/>
            </w:tcMar>
          </w:tcPr>
          <w:p>
            <w:r>
              <w:rPr>
                <w:b w:val="false"/>
                <w:bCs w:val="false"/>
                <w:color w:val="0b0b0b"/>
                <w:sz w:val="18"/>
                <w:szCs w:val="18"/>
              </w:rPr>
              <w:t xml:space="preserve">Africa</w:t>
            </w:r>
          </w:p>
        </w:tc>
        <w:tc>
          <w:tcPr>
            <w:tcW w:type="dxa" w:w="1560"/>
            <w:tcMar>
              <w:top w:type="dxa" w:w="50"/>
              <w:left w:type="dxa" w:w="90"/>
              <w:bottom w:type="dxa" w:w="50"/>
              <w:right w:type="dxa" w:w="90"/>
            </w:tcMar>
          </w:tcPr>
          <w:p>
            <w:pPr>
              <w:jc w:val="right"/>
            </w:pPr>
            <w:r>
              <w:rPr>
                <w:b w:val="false"/>
                <w:bCs w:val="false"/>
                <w:color w:val="0b0b0b"/>
                <w:sz w:val="18"/>
                <w:szCs w:val="18"/>
              </w:rPr>
              <w:t xml:space="preserve">100</w:t>
            </w:r>
          </w:p>
        </w:tc>
        <w:tc>
          <w:tcPr>
            <w:tcW w:type="dxa" w:w="1560"/>
            <w:tcMar>
              <w:top w:type="dxa" w:w="50"/>
              <w:left w:type="dxa" w:w="90"/>
              <w:bottom w:type="dxa" w:w="50"/>
              <w:right w:type="dxa" w:w="90"/>
            </w:tcMar>
          </w:tcPr>
          <w:p>
            <w:pPr>
              <w:jc w:val="right"/>
            </w:pPr>
            <w:r>
              <w:rPr>
                <w:b w:val="false"/>
                <w:bCs w:val="false"/>
                <w:color w:val="0b0b0b"/>
                <w:sz w:val="18"/>
                <w:szCs w:val="18"/>
              </w:rPr>
              <w:t xml:space="preserve">1,900</w:t>
            </w:r>
          </w:p>
        </w:tc>
        <w:tc>
          <w:tcPr>
            <w:tcW w:type="dxa" w:w="2220"/>
            <w:tcMar>
              <w:top w:type="dxa" w:w="50"/>
              <w:left w:type="dxa" w:w="90"/>
              <w:bottom w:type="dxa" w:w="50"/>
              <w:right w:type="dxa" w:w="90"/>
            </w:tcMar>
          </w:tcPr>
          <w:p>
            <w:pPr>
              <w:jc w:val="right"/>
            </w:pPr>
            <w:r>
              <w:rPr>
                <w:b w:val="false"/>
                <w:bCs w:val="false"/>
                <w:color w:val="0b0b0b"/>
                <w:sz w:val="18"/>
                <w:szCs w:val="18"/>
              </w:rPr>
              <w:t xml:space="preserve">5,000</w:t>
            </w:r>
          </w:p>
        </w:tc>
      </w:tr>
    </w:tbl>
    <w:p>
      <w:pPr>
        <w:spacing w:after="50"/>
      </w:pPr>
    </w:p>
    <w:p>
      <w:pPr>
        <w:spacing w:after="140" w:line="300"/>
      </w:pPr>
      <w:r>
        <w:rPr>
          <w:i/>
          <w:iCs/>
          <w:color w:val="52514e"/>
          <w:sz w:val="21"/>
          <w:szCs w:val="21"/>
        </w:rPr>
        <w:t xml:space="preserve">Cost tiers matter for investors: in 2025 the lowest-cost quartile of the industry produced below ~$1,413/oz, the median sat near $1,709/oz, and the highest-cost quartile ran above ~$1,982/oz. At $4,000 gold, essentially the entire cost curve is deeply profitable — 97% of primary production was already profitable back when gold was near $2,500.</w:t>
      </w:r>
    </w:p>
    <w:p>
      <w:r>
        <w:br w:type="page"/>
      </w:r>
    </w:p>
    <w:p>
      <w:pPr>
        <w:pStyle w:val="Heading1"/>
        <w:spacing w:after="120" w:before="320"/>
      </w:pPr>
      <w:r>
        <w:rPr>
          <w:b/>
          <w:bCs/>
          <w:color w:val="0b0b0b"/>
          <w:sz w:val="30"/>
          <w:szCs w:val="30"/>
        </w:rPr>
        <w:t xml:space="preserve">4.  Fifty-six years of price versus cost</w:t>
      </w:r>
    </w:p>
    <w:p>
      <w:pPr>
        <w:spacing w:after="140" w:line="300"/>
      </w:pPr>
      <w:r>
        <w:rPr>
          <w:color w:val="0b0b0b"/>
          <w:sz w:val="21"/>
          <w:szCs w:val="21"/>
        </w:rPr>
        <w:t xml:space="preserve">Gold’s price and its cost of production move together — until they violently don’t. The gap between them is the producer’s margin, and it is the single most important chart for anyone thinking about gold equities.</w:t>
      </w:r>
    </w:p>
    <w:p>
      <w:pPr>
        <w:spacing w:after="60" w:before="120"/>
        <w:jc w:val="center"/>
      </w:pPr>
      <w:r>
        <w:drawing>
          <wp:inline distT="0" distB="0" distL="0" distR="0">
            <wp:extent cx="5715000" cy="3086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086100"/>
                    </a:xfrm>
                    <a:prstGeom prst="rect">
                      <a:avLst/>
                    </a:prstGeom>
                  </pic:spPr>
                </pic:pic>
              </a:graphicData>
            </a:graphic>
          </wp:inline>
        </w:drawing>
      </w:r>
    </w:p>
    <w:p>
      <w:pPr>
        <w:spacing w:after="160"/>
        <w:jc w:val="center"/>
      </w:pPr>
      <w:r>
        <w:rPr>
          <w:i/>
          <w:iCs/>
          <w:color w:val="898781"/>
          <w:sz w:val="16"/>
          <w:szCs w:val="16"/>
        </w:rPr>
        <w:t xml:space="preserve">Figure 2 — Gold price vs. cost on three lenses, 1970–2026 (nominal US$/oz). Solid orange = AISC; dashed violet = AIC; dotted magenta = fully-loaded. Shaded band = gap vs AISC.</w:t>
      </w:r>
    </w:p>
    <w:p>
      <w:pPr>
        <w:spacing w:after="140" w:line="300"/>
      </w:pPr>
      <w:r>
        <w:rPr>
          <w:color w:val="0b0b0b"/>
          <w:sz w:val="21"/>
          <w:szCs w:val="21"/>
        </w:rPr>
        <w:t xml:space="preserve">Three regimes stand out. In the late 1990s the average mine was </w:t>
      </w:r>
      <w:r>
        <w:rPr>
          <w:b/>
          <w:bCs/>
          <w:color w:val="0b0b0b"/>
          <w:sz w:val="21"/>
          <w:szCs w:val="21"/>
        </w:rPr>
        <w:t xml:space="preserve">under water</w:t>
      </w:r>
      <w:r>
        <w:rPr>
          <w:color w:val="0b0b0b"/>
          <w:sz w:val="21"/>
          <w:szCs w:val="21"/>
        </w:rPr>
        <w:t xml:space="preserve">: with gold near $270–300 and all-in costs around $320, many producers survived only by forward-selling future output — the era of “Brown’s Bottom,” when the UK sold roughly half its gold reserves at the lows. The 2011–2012 spike opened a wide margin that then collapsed, forcing a brutal cost-cutting cycle. Today the band is the widest it has ever been.</w:t>
      </w:r>
    </w:p>
    <w:p>
      <w:pPr>
        <w:spacing w:after="140" w:line="300"/>
      </w:pPr>
      <w:r>
        <w:rPr>
          <w:i/>
          <w:iCs/>
          <w:color w:val="52514e"/>
          <w:sz w:val="21"/>
          <w:szCs w:val="21"/>
        </w:rPr>
        <w:t xml:space="preserve">A caveat on the cost line: a standardised AISC metric only exists from 2013 (with WGC’s back-series to Q1 2010). The pre-2010 portion here is a cash-cost-based reconstruction scaled toward an all-in basis, so treat the long-run cost series as indicative of the margin’s shape rather than a precise dollar figure in any given early year.</w:t>
      </w:r>
    </w:p>
    <w:p>
      <w:pPr>
        <w:pStyle w:val="Heading2"/>
        <w:spacing w:after="90" w:before="220"/>
      </w:pPr>
      <w:r>
        <w:rPr>
          <w:b/>
          <w:bCs/>
          <w:color w:val="2a78d6"/>
          <w:sz w:val="24"/>
          <w:szCs w:val="24"/>
        </w:rPr>
        <w:t xml:space="preserve">Price gap by lens — choose your cost basis</w:t>
      </w:r>
    </w:p>
    <w:p>
      <w:pPr>
        <w:spacing w:after="140" w:line="300"/>
      </w:pPr>
      <w:r>
        <w:rPr>
          <w:color w:val="0b0b0b"/>
          <w:sz w:val="21"/>
          <w:szCs w:val="21"/>
        </w:rPr>
        <w:t xml:space="preserve">“The gap” depends entirely on which cost you subtract. The stricter the lens, the smaller the margin — but even on the fullest, tax-and-finance-loaded basis, producers keep almost half of a $4,010 ounce. The three lenses:</w:t>
      </w:r>
    </w:p>
    <w:p>
      <w:pPr>
        <w:spacing w:after="60" w:before="120"/>
        <w:jc w:val="center"/>
      </w:pPr>
      <w:r>
        <w:drawing>
          <wp:inline distT="0" distB="0" distL="0" distR="0">
            <wp:extent cx="5715000" cy="1714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1714500"/>
                    </a:xfrm>
                    <a:prstGeom prst="rect">
                      <a:avLst/>
                    </a:prstGeom>
                  </pic:spPr>
                </pic:pic>
              </a:graphicData>
            </a:graphic>
          </wp:inline>
        </w:drawing>
      </w:r>
    </w:p>
    <w:p>
      <w:pPr>
        <w:spacing w:after="160"/>
        <w:jc w:val="center"/>
      </w:pPr>
      <w:r>
        <w:rPr>
          <w:i/>
          <w:iCs/>
          <w:color w:val="898781"/>
          <w:sz w:val="16"/>
          <w:szCs w:val="16"/>
        </w:rPr>
        <w:t xml:space="preserve">Figure 2b — The price gap at $4,010 spot under each cost lens.</w:t>
      </w:r>
    </w:p>
    <w:tbl>
      <w:tblPr>
        <w:tblW w:type="dxa" w:w="9360"/>
        <w:tblBorders>
          <w:top w:val="single" w:color="d9d8d2" w:sz="2"/>
          <w:left w:val="none"/>
          <w:bottom w:val="single" w:color="d9d8d2" w:sz="2"/>
          <w:right w:val="none"/>
          <w:insideH w:val="single" w:color="d9d8d2" w:sz="2"/>
          <w:insideV w:val="none"/>
        </w:tblBorders>
      </w:tblPr>
      <w:tblGrid>
        <w:gridCol w:w="3900"/>
        <w:gridCol w:w="1560"/>
        <w:gridCol w:w="1800"/>
        <w:gridCol w:w="2100"/>
      </w:tblGrid>
      <w:tr>
        <w:trPr>
          <w:tblHeader/>
        </w:trPr>
        <w:tc>
          <w:tcPr>
            <w:tcW w:type="dxa" w:w="3900"/>
            <w:shd w:fill="eef3fb" w:val="clear"/>
            <w:tcMar>
              <w:top w:type="dxa" w:w="60"/>
              <w:left w:type="dxa" w:w="90"/>
              <w:bottom w:type="dxa" w:w="60"/>
              <w:right w:type="dxa" w:w="90"/>
            </w:tcMar>
          </w:tcPr>
          <w:p>
            <w:r>
              <w:rPr>
                <w:b/>
                <w:bCs/>
                <w:color w:val="0b0b0b"/>
                <w:sz w:val="18"/>
                <w:szCs w:val="18"/>
              </w:rPr>
              <w:t xml:space="preserve">Cost lens</w:t>
            </w:r>
          </w:p>
        </w:tc>
        <w:tc>
          <w:tcPr>
            <w:tcW w:type="dxa" w:w="1560"/>
            <w:shd w:fill="eef3fb" w:val="clear"/>
            <w:tcMar>
              <w:top w:type="dxa" w:w="60"/>
              <w:left w:type="dxa" w:w="90"/>
              <w:bottom w:type="dxa" w:w="60"/>
              <w:right w:type="dxa" w:w="90"/>
            </w:tcMar>
          </w:tcPr>
          <w:p>
            <w:r>
              <w:rPr>
                <w:b/>
                <w:bCs/>
                <w:color w:val="0b0b0b"/>
                <w:sz w:val="18"/>
                <w:szCs w:val="18"/>
              </w:rPr>
              <w:t xml:space="preserve">Cost ($/oz)</w:t>
            </w:r>
          </w:p>
        </w:tc>
        <w:tc>
          <w:tcPr>
            <w:tcW w:type="dxa" w:w="1800"/>
            <w:shd w:fill="eef3fb" w:val="clear"/>
            <w:tcMar>
              <w:top w:type="dxa" w:w="60"/>
              <w:left w:type="dxa" w:w="90"/>
              <w:bottom w:type="dxa" w:w="60"/>
              <w:right w:type="dxa" w:w="90"/>
            </w:tcMar>
          </w:tcPr>
          <w:p>
            <w:r>
              <w:rPr>
                <w:b/>
                <w:bCs/>
                <w:color w:val="0b0b0b"/>
                <w:sz w:val="18"/>
                <w:szCs w:val="18"/>
              </w:rPr>
              <w:t xml:space="preserve">Gap at spot</w:t>
            </w:r>
          </w:p>
        </w:tc>
        <w:tc>
          <w:tcPr>
            <w:tcW w:type="dxa" w:w="2100"/>
            <w:shd w:fill="eef3fb" w:val="clear"/>
            <w:tcMar>
              <w:top w:type="dxa" w:w="60"/>
              <w:left w:type="dxa" w:w="90"/>
              <w:bottom w:type="dxa" w:w="60"/>
              <w:right w:type="dxa" w:w="90"/>
            </w:tcMar>
          </w:tcPr>
          <w:p>
            <w:r>
              <w:rPr>
                <w:b/>
                <w:bCs/>
                <w:color w:val="0b0b0b"/>
                <w:sz w:val="18"/>
                <w:szCs w:val="18"/>
              </w:rPr>
              <w:t xml:space="preserve">% of price</w:t>
            </w:r>
          </w:p>
        </w:tc>
      </w:tr>
      <w:tr>
        <w:tc>
          <w:tcPr>
            <w:tcW w:type="dxa" w:w="3900"/>
            <w:tcMar>
              <w:top w:type="dxa" w:w="50"/>
              <w:left w:type="dxa" w:w="90"/>
              <w:bottom w:type="dxa" w:w="50"/>
              <w:right w:type="dxa" w:w="90"/>
            </w:tcMar>
          </w:tcPr>
          <w:p>
            <w:r>
              <w:rPr>
                <w:b/>
                <w:bCs/>
                <w:color w:val="2a78d6"/>
                <w:sz w:val="18"/>
                <w:szCs w:val="18"/>
              </w:rPr>
              <w:t xml:space="preserve">AISC</w:t>
            </w:r>
          </w:p>
        </w:tc>
        <w:tc>
          <w:tcPr>
            <w:tcW w:type="dxa" w:w="1560"/>
            <w:tcMar>
              <w:top w:type="dxa" w:w="50"/>
              <w:left w:type="dxa" w:w="90"/>
              <w:bottom w:type="dxa" w:w="50"/>
              <w:right w:type="dxa" w:w="90"/>
            </w:tcMar>
          </w:tcPr>
          <w:p>
            <w:pPr>
              <w:jc w:val="right"/>
            </w:pPr>
            <w:r>
              <w:rPr>
                <w:color w:val="0b0b0b"/>
                <w:sz w:val="18"/>
                <w:szCs w:val="18"/>
              </w:rPr>
              <w:t xml:space="preserve">1,706</w:t>
            </w:r>
          </w:p>
        </w:tc>
        <w:tc>
          <w:tcPr>
            <w:tcW w:type="dxa" w:w="1800"/>
            <w:tcMar>
              <w:top w:type="dxa" w:w="50"/>
              <w:left w:type="dxa" w:w="90"/>
              <w:bottom w:type="dxa" w:w="50"/>
              <w:right w:type="dxa" w:w="90"/>
            </w:tcMar>
          </w:tcPr>
          <w:p>
            <w:pPr>
              <w:jc w:val="right"/>
            </w:pPr>
            <w:r>
              <w:rPr>
                <w:color w:val="1a7a1a"/>
                <w:sz w:val="18"/>
                <w:szCs w:val="18"/>
              </w:rPr>
              <w:t xml:space="preserve">+2,304</w:t>
            </w:r>
          </w:p>
        </w:tc>
        <w:tc>
          <w:tcPr>
            <w:tcW w:type="dxa" w:w="2100"/>
            <w:tcMar>
              <w:top w:type="dxa" w:w="50"/>
              <w:left w:type="dxa" w:w="90"/>
              <w:bottom w:type="dxa" w:w="50"/>
              <w:right w:type="dxa" w:w="90"/>
            </w:tcMar>
          </w:tcPr>
          <w:p>
            <w:pPr>
              <w:jc w:val="right"/>
            </w:pPr>
            <w:r>
              <w:rPr>
                <w:color w:val="0b0b0b"/>
                <w:sz w:val="18"/>
                <w:szCs w:val="18"/>
              </w:rPr>
              <w:t xml:space="preserve">57%</w:t>
            </w:r>
          </w:p>
        </w:tc>
      </w:tr>
      <w:tr>
        <w:tc>
          <w:tcPr>
            <w:tcW w:type="dxa" w:w="3900"/>
            <w:tcMar>
              <w:top w:type="dxa" w:w="50"/>
              <w:left w:type="dxa" w:w="90"/>
              <w:bottom w:type="dxa" w:w="50"/>
              <w:right w:type="dxa" w:w="90"/>
            </w:tcMar>
          </w:tcPr>
          <w:p>
            <w:r>
              <w:rPr>
                <w:b/>
                <w:bCs/>
                <w:color w:val="4a3aa7"/>
                <w:sz w:val="18"/>
                <w:szCs w:val="18"/>
              </w:rPr>
              <w:t xml:space="preserve">AIC (+ growth capex &amp; exploration)</w:t>
            </w:r>
          </w:p>
        </w:tc>
        <w:tc>
          <w:tcPr>
            <w:tcW w:type="dxa" w:w="1560"/>
            <w:tcMar>
              <w:top w:type="dxa" w:w="50"/>
              <w:left w:type="dxa" w:w="90"/>
              <w:bottom w:type="dxa" w:w="50"/>
              <w:right w:type="dxa" w:w="90"/>
            </w:tcMar>
          </w:tcPr>
          <w:p>
            <w:pPr>
              <w:jc w:val="right"/>
            </w:pPr>
            <w:r>
              <w:rPr>
                <w:color w:val="0b0b0b"/>
                <w:sz w:val="18"/>
                <w:szCs w:val="18"/>
              </w:rPr>
              <w:t xml:space="preserve">1,946</w:t>
            </w:r>
          </w:p>
        </w:tc>
        <w:tc>
          <w:tcPr>
            <w:tcW w:type="dxa" w:w="1800"/>
            <w:tcMar>
              <w:top w:type="dxa" w:w="50"/>
              <w:left w:type="dxa" w:w="90"/>
              <w:bottom w:type="dxa" w:w="50"/>
              <w:right w:type="dxa" w:w="90"/>
            </w:tcMar>
          </w:tcPr>
          <w:p>
            <w:pPr>
              <w:jc w:val="right"/>
            </w:pPr>
            <w:r>
              <w:rPr>
                <w:color w:val="1a7a1a"/>
                <w:sz w:val="18"/>
                <w:szCs w:val="18"/>
              </w:rPr>
              <w:t xml:space="preserve">+2,064</w:t>
            </w:r>
          </w:p>
        </w:tc>
        <w:tc>
          <w:tcPr>
            <w:tcW w:type="dxa" w:w="2100"/>
            <w:tcMar>
              <w:top w:type="dxa" w:w="50"/>
              <w:left w:type="dxa" w:w="90"/>
              <w:bottom w:type="dxa" w:w="50"/>
              <w:right w:type="dxa" w:w="90"/>
            </w:tcMar>
          </w:tcPr>
          <w:p>
            <w:pPr>
              <w:jc w:val="right"/>
            </w:pPr>
            <w:r>
              <w:rPr>
                <w:color w:val="0b0b0b"/>
                <w:sz w:val="18"/>
                <w:szCs w:val="18"/>
              </w:rPr>
              <w:t xml:space="preserve">51%</w:t>
            </w:r>
          </w:p>
        </w:tc>
      </w:tr>
      <w:tr>
        <w:tc>
          <w:tcPr>
            <w:tcW w:type="dxa" w:w="3900"/>
            <w:tcMar>
              <w:top w:type="dxa" w:w="50"/>
              <w:left w:type="dxa" w:w="90"/>
              <w:bottom w:type="dxa" w:w="50"/>
              <w:right w:type="dxa" w:w="90"/>
            </w:tcMar>
          </w:tcPr>
          <w:p>
            <w:r>
              <w:rPr>
                <w:b/>
                <w:bCs/>
                <w:color w:val="b0357a"/>
                <w:sz w:val="18"/>
                <w:szCs w:val="18"/>
              </w:rPr>
              <w:t xml:space="preserve">Fully-loaded (+ 15% tax &amp; finance)</w:t>
            </w:r>
          </w:p>
        </w:tc>
        <w:tc>
          <w:tcPr>
            <w:tcW w:type="dxa" w:w="1560"/>
            <w:tcMar>
              <w:top w:type="dxa" w:w="50"/>
              <w:left w:type="dxa" w:w="90"/>
              <w:bottom w:type="dxa" w:w="50"/>
              <w:right w:type="dxa" w:w="90"/>
            </w:tcMar>
          </w:tcPr>
          <w:p>
            <w:pPr>
              <w:jc w:val="right"/>
            </w:pPr>
            <w:r>
              <w:rPr>
                <w:color w:val="0b0b0b"/>
                <w:sz w:val="18"/>
                <w:szCs w:val="18"/>
              </w:rPr>
              <w:t xml:space="preserve">2,238</w:t>
            </w:r>
          </w:p>
        </w:tc>
        <w:tc>
          <w:tcPr>
            <w:tcW w:type="dxa" w:w="1800"/>
            <w:tcMar>
              <w:top w:type="dxa" w:w="50"/>
              <w:left w:type="dxa" w:w="90"/>
              <w:bottom w:type="dxa" w:w="50"/>
              <w:right w:type="dxa" w:w="90"/>
            </w:tcMar>
          </w:tcPr>
          <w:p>
            <w:pPr>
              <w:jc w:val="right"/>
            </w:pPr>
            <w:r>
              <w:rPr>
                <w:color w:val="1a7a1a"/>
                <w:sz w:val="18"/>
                <w:szCs w:val="18"/>
              </w:rPr>
              <w:t xml:space="preserve">+1,772</w:t>
            </w:r>
          </w:p>
        </w:tc>
        <w:tc>
          <w:tcPr>
            <w:tcW w:type="dxa" w:w="2100"/>
            <w:tcMar>
              <w:top w:type="dxa" w:w="50"/>
              <w:left w:type="dxa" w:w="90"/>
              <w:bottom w:type="dxa" w:w="50"/>
              <w:right w:type="dxa" w:w="90"/>
            </w:tcMar>
          </w:tcPr>
          <w:p>
            <w:pPr>
              <w:jc w:val="right"/>
            </w:pPr>
            <w:r>
              <w:rPr>
                <w:color w:val="0b0b0b"/>
                <w:sz w:val="18"/>
                <w:szCs w:val="18"/>
              </w:rPr>
              <w:t xml:space="preserve">44%</w:t>
            </w:r>
          </w:p>
        </w:tc>
      </w:tr>
    </w:tbl>
    <w:p>
      <w:r>
        <w:br w:type="page"/>
      </w:r>
    </w:p>
    <w:p>
      <w:pPr>
        <w:pStyle w:val="Heading1"/>
        <w:spacing w:after="120" w:before="320"/>
      </w:pPr>
      <w:r>
        <w:rPr>
          <w:b/>
          <w:bCs/>
          <w:color w:val="0b0b0b"/>
          <w:sz w:val="30"/>
          <w:szCs w:val="30"/>
        </w:rPr>
        <w:t xml:space="preserve">5.  Who holds the gold — and why it drives price</w:t>
      </w:r>
    </w:p>
    <w:p>
      <w:pPr>
        <w:spacing w:after="140" w:line="300"/>
      </w:pPr>
      <w:r>
        <w:rPr>
          <w:color w:val="0b0b0b"/>
          <w:sz w:val="21"/>
          <w:szCs w:val="21"/>
        </w:rPr>
        <w:t xml:space="preserve">Almost every ounce ever mined still exists — about </w:t>
      </w:r>
      <w:r>
        <w:rPr>
          <w:b/>
          <w:bCs/>
          <w:color w:val="0b0b0b"/>
          <w:sz w:val="21"/>
          <w:szCs w:val="21"/>
        </w:rPr>
        <w:t xml:space="preserve">219,891 tonnes</w:t>
      </w:r>
      <w:r>
        <w:rPr>
          <w:color w:val="0b0b0b"/>
          <w:sz w:val="21"/>
          <w:szCs w:val="21"/>
        </w:rPr>
        <w:t xml:space="preserve"> of above-ground stock at end-2025, roughly two-thirds of it mined since 1950. Because gold supply is a giant stock rather than a flow, </w:t>
      </w:r>
      <w:r>
        <w:rPr>
          <w:b/>
          <w:bCs/>
          <w:color w:val="0b0b0b"/>
          <w:sz w:val="21"/>
          <w:szCs w:val="21"/>
        </w:rPr>
        <w:t xml:space="preserve">who owns that stock and whether they are buying or selling</w:t>
      </w:r>
      <w:r>
        <w:rPr>
          <w:color w:val="0b0b0b"/>
          <w:sz w:val="21"/>
          <w:szCs w:val="21"/>
        </w:rPr>
        <w:t xml:space="preserve"> matters more to price than the ~3,700 tonnes of new mine output each year (which adds under 2% to the total annually).</w:t>
      </w:r>
    </w:p>
    <w:tbl>
      <w:tblPr>
        <w:tblW w:type="dxa" w:w="9360"/>
        <w:tblBorders>
          <w:top w:val="single" w:color="d9d8d2" w:sz="2"/>
          <w:left w:val="none"/>
          <w:bottom w:val="single" w:color="d9d8d2" w:sz="2"/>
          <w:right w:val="none"/>
          <w:insideH w:val="single" w:color="d9d8d2" w:sz="2"/>
          <w:insideV w:val="none"/>
        </w:tblBorders>
      </w:tblPr>
      <w:tblGrid>
        <w:gridCol w:w="4020"/>
        <w:gridCol w:w="2760"/>
        <w:gridCol w:w="2580"/>
      </w:tblGrid>
      <w:tr>
        <w:trPr>
          <w:tblHeader/>
        </w:trPr>
        <w:tc>
          <w:tcPr>
            <w:tcW w:type="dxa" w:w="4020"/>
            <w:shd w:fill="eef3fb" w:val="clear"/>
            <w:tcMar>
              <w:top w:type="dxa" w:w="60"/>
              <w:left w:type="dxa" w:w="90"/>
              <w:bottom w:type="dxa" w:w="60"/>
              <w:right w:type="dxa" w:w="90"/>
            </w:tcMar>
          </w:tcPr>
          <w:p>
            <w:r>
              <w:rPr>
                <w:b/>
                <w:bCs/>
                <w:color w:val="0b0b0b"/>
                <w:sz w:val="18"/>
                <w:szCs w:val="18"/>
              </w:rPr>
              <w:t xml:space="preserve">Above-ground stock, end-2025</w:t>
            </w:r>
          </w:p>
        </w:tc>
        <w:tc>
          <w:tcPr>
            <w:tcW w:type="dxa" w:w="2760"/>
            <w:shd w:fill="eef3fb" w:val="clear"/>
            <w:tcMar>
              <w:top w:type="dxa" w:w="60"/>
              <w:left w:type="dxa" w:w="90"/>
              <w:bottom w:type="dxa" w:w="60"/>
              <w:right w:type="dxa" w:w="90"/>
            </w:tcMar>
          </w:tcPr>
          <w:p>
            <w:r>
              <w:rPr>
                <w:b/>
                <w:bCs/>
                <w:color w:val="0b0b0b"/>
                <w:sz w:val="18"/>
                <w:szCs w:val="18"/>
              </w:rPr>
              <w:t xml:space="preserve">Tonnes</w:t>
            </w:r>
          </w:p>
        </w:tc>
        <w:tc>
          <w:tcPr>
            <w:tcW w:type="dxa" w:w="2580"/>
            <w:shd w:fill="eef3fb" w:val="clear"/>
            <w:tcMar>
              <w:top w:type="dxa" w:w="60"/>
              <w:left w:type="dxa" w:w="90"/>
              <w:bottom w:type="dxa" w:w="60"/>
              <w:right w:type="dxa" w:w="90"/>
            </w:tcMar>
          </w:tcPr>
          <w:p>
            <w:r>
              <w:rPr>
                <w:b/>
                <w:bCs/>
                <w:color w:val="0b0b0b"/>
                <w:sz w:val="18"/>
                <w:szCs w:val="18"/>
              </w:rPr>
              <w:t xml:space="preserve">Share</w:t>
            </w:r>
          </w:p>
        </w:tc>
      </w:tr>
      <w:tr>
        <w:tc>
          <w:tcPr>
            <w:tcW w:type="dxa" w:w="4020"/>
            <w:tcMar>
              <w:top w:type="dxa" w:w="50"/>
              <w:left w:type="dxa" w:w="90"/>
              <w:bottom w:type="dxa" w:w="50"/>
              <w:right w:type="dxa" w:w="90"/>
            </w:tcMar>
          </w:tcPr>
          <w:p>
            <w:r>
              <w:rPr>
                <w:b/>
                <w:bCs/>
                <w:color w:val="0b0b0b"/>
                <w:sz w:val="18"/>
                <w:szCs w:val="18"/>
              </w:rPr>
              <w:t xml:space="preserve">Jewellery</w:t>
            </w:r>
          </w:p>
        </w:tc>
        <w:tc>
          <w:tcPr>
            <w:tcW w:type="dxa" w:w="2760"/>
            <w:tcMar>
              <w:top w:type="dxa" w:w="50"/>
              <w:left w:type="dxa" w:w="90"/>
              <w:bottom w:type="dxa" w:w="50"/>
              <w:right w:type="dxa" w:w="90"/>
            </w:tcMar>
          </w:tcPr>
          <w:p>
            <w:pPr>
              <w:jc w:val="right"/>
            </w:pPr>
            <w:r>
              <w:rPr>
                <w:b w:val="false"/>
                <w:bCs w:val="false"/>
                <w:color w:val="0b0b0b"/>
                <w:sz w:val="18"/>
                <w:szCs w:val="18"/>
              </w:rPr>
              <w:t xml:space="preserve">97,645</w:t>
            </w:r>
          </w:p>
        </w:tc>
        <w:tc>
          <w:tcPr>
            <w:tcW w:type="dxa" w:w="2580"/>
            <w:tcMar>
              <w:top w:type="dxa" w:w="50"/>
              <w:left w:type="dxa" w:w="90"/>
              <w:bottom w:type="dxa" w:w="50"/>
              <w:right w:type="dxa" w:w="90"/>
            </w:tcMar>
          </w:tcPr>
          <w:p>
            <w:pPr>
              <w:jc w:val="right"/>
            </w:pPr>
            <w:r>
              <w:rPr>
                <w:b w:val="false"/>
                <w:bCs w:val="false"/>
                <w:color w:val="0b0b0b"/>
                <w:sz w:val="18"/>
                <w:szCs w:val="18"/>
              </w:rPr>
              <w:t xml:space="preserve">44%</w:t>
            </w:r>
          </w:p>
        </w:tc>
      </w:tr>
      <w:tr>
        <w:tc>
          <w:tcPr>
            <w:tcW w:type="dxa" w:w="4020"/>
            <w:tcMar>
              <w:top w:type="dxa" w:w="50"/>
              <w:left w:type="dxa" w:w="90"/>
              <w:bottom w:type="dxa" w:w="50"/>
              <w:right w:type="dxa" w:w="90"/>
            </w:tcMar>
          </w:tcPr>
          <w:p>
            <w:r>
              <w:rPr>
                <w:b/>
                <w:bCs/>
                <w:color w:val="0b0b0b"/>
                <w:sz w:val="18"/>
                <w:szCs w:val="18"/>
              </w:rPr>
              <w:t xml:space="preserve">Bars, coins &amp; ETFs</w:t>
            </w:r>
          </w:p>
        </w:tc>
        <w:tc>
          <w:tcPr>
            <w:tcW w:type="dxa" w:w="2760"/>
            <w:tcMar>
              <w:top w:type="dxa" w:w="50"/>
              <w:left w:type="dxa" w:w="90"/>
              <w:bottom w:type="dxa" w:w="50"/>
              <w:right w:type="dxa" w:w="90"/>
            </w:tcMar>
          </w:tcPr>
          <w:p>
            <w:pPr>
              <w:jc w:val="right"/>
            </w:pPr>
            <w:r>
              <w:rPr>
                <w:b w:val="false"/>
                <w:bCs w:val="false"/>
                <w:color w:val="0b0b0b"/>
                <w:sz w:val="18"/>
                <w:szCs w:val="18"/>
              </w:rPr>
              <w:t xml:space="preserve">50,978</w:t>
            </w:r>
          </w:p>
        </w:tc>
        <w:tc>
          <w:tcPr>
            <w:tcW w:type="dxa" w:w="2580"/>
            <w:tcMar>
              <w:top w:type="dxa" w:w="50"/>
              <w:left w:type="dxa" w:w="90"/>
              <w:bottom w:type="dxa" w:w="50"/>
              <w:right w:type="dxa" w:w="90"/>
            </w:tcMar>
          </w:tcPr>
          <w:p>
            <w:pPr>
              <w:jc w:val="right"/>
            </w:pPr>
            <w:r>
              <w:rPr>
                <w:b w:val="false"/>
                <w:bCs w:val="false"/>
                <w:color w:val="0b0b0b"/>
                <w:sz w:val="18"/>
                <w:szCs w:val="18"/>
              </w:rPr>
              <w:t xml:space="preserve">23%</w:t>
            </w:r>
          </w:p>
        </w:tc>
      </w:tr>
      <w:tr>
        <w:tc>
          <w:tcPr>
            <w:tcW w:type="dxa" w:w="4020"/>
            <w:tcMar>
              <w:top w:type="dxa" w:w="50"/>
              <w:left w:type="dxa" w:w="90"/>
              <w:bottom w:type="dxa" w:w="50"/>
              <w:right w:type="dxa" w:w="90"/>
            </w:tcMar>
          </w:tcPr>
          <w:p>
            <w:r>
              <w:rPr>
                <w:b/>
                <w:bCs/>
                <w:color w:val="0b0b0b"/>
                <w:sz w:val="18"/>
                <w:szCs w:val="18"/>
              </w:rPr>
              <w:t xml:space="preserve">Central banks (official reserves)</w:t>
            </w:r>
          </w:p>
        </w:tc>
        <w:tc>
          <w:tcPr>
            <w:tcW w:type="dxa" w:w="2760"/>
            <w:tcMar>
              <w:top w:type="dxa" w:w="50"/>
              <w:left w:type="dxa" w:w="90"/>
              <w:bottom w:type="dxa" w:w="50"/>
              <w:right w:type="dxa" w:w="90"/>
            </w:tcMar>
          </w:tcPr>
          <w:p>
            <w:pPr>
              <w:jc w:val="right"/>
            </w:pPr>
            <w:r>
              <w:rPr>
                <w:b w:val="false"/>
                <w:bCs w:val="false"/>
                <w:color w:val="0b0b0b"/>
                <w:sz w:val="18"/>
                <w:szCs w:val="18"/>
              </w:rPr>
              <w:t xml:space="preserve">38,666</w:t>
            </w:r>
          </w:p>
        </w:tc>
        <w:tc>
          <w:tcPr>
            <w:tcW w:type="dxa" w:w="2580"/>
            <w:tcMar>
              <w:top w:type="dxa" w:w="50"/>
              <w:left w:type="dxa" w:w="90"/>
              <w:bottom w:type="dxa" w:w="50"/>
              <w:right w:type="dxa" w:w="90"/>
            </w:tcMar>
          </w:tcPr>
          <w:p>
            <w:pPr>
              <w:jc w:val="right"/>
            </w:pPr>
            <w:r>
              <w:rPr>
                <w:b w:val="false"/>
                <w:bCs w:val="false"/>
                <w:color w:val="0b0b0b"/>
                <w:sz w:val="18"/>
                <w:szCs w:val="18"/>
              </w:rPr>
              <w:t xml:space="preserve">18%</w:t>
            </w:r>
          </w:p>
        </w:tc>
      </w:tr>
      <w:tr>
        <w:tc>
          <w:tcPr>
            <w:tcW w:type="dxa" w:w="4020"/>
            <w:tcMar>
              <w:top w:type="dxa" w:w="50"/>
              <w:left w:type="dxa" w:w="90"/>
              <w:bottom w:type="dxa" w:w="50"/>
              <w:right w:type="dxa" w:w="90"/>
            </w:tcMar>
          </w:tcPr>
          <w:p>
            <w:r>
              <w:rPr>
                <w:b/>
                <w:bCs/>
                <w:color w:val="0b0b0b"/>
                <w:sz w:val="18"/>
                <w:szCs w:val="18"/>
              </w:rPr>
              <w:t xml:space="preserve">Other / industrial</w:t>
            </w:r>
          </w:p>
        </w:tc>
        <w:tc>
          <w:tcPr>
            <w:tcW w:type="dxa" w:w="2760"/>
            <w:tcMar>
              <w:top w:type="dxa" w:w="50"/>
              <w:left w:type="dxa" w:w="90"/>
              <w:bottom w:type="dxa" w:w="50"/>
              <w:right w:type="dxa" w:w="90"/>
            </w:tcMar>
          </w:tcPr>
          <w:p>
            <w:pPr>
              <w:jc w:val="right"/>
            </w:pPr>
            <w:r>
              <w:rPr>
                <w:b w:val="false"/>
                <w:bCs w:val="false"/>
                <w:color w:val="0b0b0b"/>
                <w:sz w:val="18"/>
                <w:szCs w:val="18"/>
              </w:rPr>
              <w:t xml:space="preserve">32,602</w:t>
            </w:r>
          </w:p>
        </w:tc>
        <w:tc>
          <w:tcPr>
            <w:tcW w:type="dxa" w:w="2580"/>
            <w:tcMar>
              <w:top w:type="dxa" w:w="50"/>
              <w:left w:type="dxa" w:w="90"/>
              <w:bottom w:type="dxa" w:w="50"/>
              <w:right w:type="dxa" w:w="90"/>
            </w:tcMar>
          </w:tcPr>
          <w:p>
            <w:pPr>
              <w:jc w:val="right"/>
            </w:pPr>
            <w:r>
              <w:rPr>
                <w:b w:val="false"/>
                <w:bCs w:val="false"/>
                <w:color w:val="0b0b0b"/>
                <w:sz w:val="18"/>
                <w:szCs w:val="18"/>
              </w:rPr>
              <w:t xml:space="preserve">15%</w:t>
            </w:r>
          </w:p>
        </w:tc>
      </w:tr>
      <w:tr>
        <w:tc>
          <w:tcPr>
            <w:tcW w:type="dxa" w:w="4020"/>
            <w:tcMar>
              <w:top w:type="dxa" w:w="50"/>
              <w:left w:type="dxa" w:w="90"/>
              <w:bottom w:type="dxa" w:w="50"/>
              <w:right w:type="dxa" w:w="90"/>
            </w:tcMar>
          </w:tcPr>
          <w:p>
            <w:r>
              <w:rPr>
                <w:b/>
                <w:bCs/>
                <w:color w:val="0b0b0b"/>
                <w:sz w:val="18"/>
                <w:szCs w:val="18"/>
              </w:rPr>
              <w:t xml:space="preserve">Total</w:t>
            </w:r>
          </w:p>
        </w:tc>
        <w:tc>
          <w:tcPr>
            <w:tcW w:type="dxa" w:w="2760"/>
            <w:tcMar>
              <w:top w:type="dxa" w:w="50"/>
              <w:left w:type="dxa" w:w="90"/>
              <w:bottom w:type="dxa" w:w="50"/>
              <w:right w:type="dxa" w:w="90"/>
            </w:tcMar>
          </w:tcPr>
          <w:p>
            <w:pPr>
              <w:jc w:val="right"/>
            </w:pPr>
            <w:r>
              <w:rPr>
                <w:b/>
                <w:bCs/>
                <w:color w:val="0b0b0b"/>
                <w:sz w:val="18"/>
                <w:szCs w:val="18"/>
              </w:rPr>
              <w:t xml:space="preserve">219,891</w:t>
            </w:r>
          </w:p>
        </w:tc>
        <w:tc>
          <w:tcPr>
            <w:tcW w:type="dxa" w:w="2580"/>
            <w:tcMar>
              <w:top w:type="dxa" w:w="50"/>
              <w:left w:type="dxa" w:w="90"/>
              <w:bottom w:type="dxa" w:w="50"/>
              <w:right w:type="dxa" w:w="90"/>
            </w:tcMar>
          </w:tcPr>
          <w:p>
            <w:pPr>
              <w:jc w:val="right"/>
            </w:pPr>
            <w:r>
              <w:rPr>
                <w:b/>
                <w:bCs/>
                <w:color w:val="0b0b0b"/>
                <w:sz w:val="18"/>
                <w:szCs w:val="18"/>
              </w:rPr>
              <w:t xml:space="preserve">100%</w:t>
            </w:r>
          </w:p>
        </w:tc>
      </w:tr>
    </w:tbl>
    <w:p>
      <w:pPr>
        <w:spacing w:after="60"/>
      </w:pPr>
    </w:p>
    <w:p>
      <w:pPr>
        <w:spacing w:after="60" w:before="120"/>
        <w:jc w:val="center"/>
      </w:pPr>
      <w:r>
        <w:drawing>
          <wp:inline distT="0" distB="0" distL="0" distR="0">
            <wp:extent cx="3429000" cy="342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429000" cy="3429000"/>
                    </a:xfrm>
                    <a:prstGeom prst="rect">
                      <a:avLst/>
                    </a:prstGeom>
                  </pic:spPr>
                </pic:pic>
              </a:graphicData>
            </a:graphic>
          </wp:inline>
        </w:drawing>
      </w:r>
    </w:p>
    <w:p>
      <w:pPr>
        <w:spacing w:after="160"/>
        <w:jc w:val="center"/>
      </w:pPr>
      <w:r>
        <w:rPr>
          <w:i/>
          <w:iCs/>
          <w:color w:val="898781"/>
          <w:sz w:val="16"/>
          <w:szCs w:val="16"/>
        </w:rPr>
        <w:t xml:space="preserve">Figure 3 — The 219,891 tonnes of above-ground gold, split by holder category.</w:t>
      </w:r>
    </w:p>
    <w:p>
      <w:pPr>
        <w:pStyle w:val="Heading2"/>
        <w:spacing w:after="90" w:before="220"/>
      </w:pPr>
      <w:r>
        <w:rPr>
          <w:b/>
          <w:bCs/>
          <w:color w:val="2a78d6"/>
          <w:sz w:val="24"/>
          <w:szCs w:val="24"/>
        </w:rPr>
        <w:t xml:space="preserve">The sovereign layer, and the swing factor of the 2020s</w:t>
      </w:r>
    </w:p>
    <w:p>
      <w:pPr>
        <w:spacing w:after="140" w:line="300"/>
      </w:pPr>
      <w:r>
        <w:rPr>
          <w:color w:val="0b0b0b"/>
          <w:sz w:val="21"/>
          <w:szCs w:val="21"/>
        </w:rPr>
        <w:t xml:space="preserve">The United States holds by far the most official gold — </w:t>
      </w:r>
      <w:r>
        <w:rPr>
          <w:b/>
          <w:bCs/>
          <w:color w:val="0b0b0b"/>
          <w:sz w:val="21"/>
          <w:szCs w:val="21"/>
        </w:rPr>
        <w:t xml:space="preserve">8,133.5 tonnes</w:t>
      </w:r>
      <w:r>
        <w:rPr>
          <w:color w:val="0b0b0b"/>
          <w:sz w:val="21"/>
          <w:szCs w:val="21"/>
        </w:rPr>
        <w:t xml:space="preserve">, about 78% of its foreign reserves — followed by Germany (3,350t), the IMF (2,814t), Italy and France (each ~2,440t). But the story of the 2020s is at the margin: emerging-market central banks led by China, Russia, Turkey, India and Poland have been accumulating aggressively to diversify away from the dollar.</w:t>
      </w:r>
    </w:p>
    <w:p>
      <w:pPr>
        <w:spacing w:after="60" w:before="120"/>
        <w:jc w:val="center"/>
      </w:pPr>
      <w:r>
        <w:drawing>
          <wp:inline distT="0" distB="0" distL="0" distR="0">
            <wp:extent cx="5143500" cy="3543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143500" cy="3543300"/>
                    </a:xfrm>
                    <a:prstGeom prst="rect">
                      <a:avLst/>
                    </a:prstGeom>
                  </pic:spPr>
                </pic:pic>
              </a:graphicData>
            </a:graphic>
          </wp:inline>
        </w:drawing>
      </w:r>
    </w:p>
    <w:p>
      <w:pPr>
        <w:spacing w:after="160"/>
        <w:jc w:val="center"/>
      </w:pPr>
      <w:r>
        <w:rPr>
          <w:i/>
          <w:iCs/>
          <w:color w:val="898781"/>
          <w:sz w:val="16"/>
          <w:szCs w:val="16"/>
        </w:rPr>
        <w:t xml:space="preserve">Figure 4 — Official gold reserves by holder (tonnes, 2025). Orange marks the active emerging-market accumulators.</w:t>
      </w:r>
    </w:p>
    <w:p>
      <w:pPr>
        <w:spacing w:after="140" w:line="300"/>
      </w:pPr>
      <w:r>
        <w:rPr>
          <w:color w:val="0b0b0b"/>
          <w:sz w:val="21"/>
          <w:szCs w:val="21"/>
        </w:rPr>
        <w:t xml:space="preserve">The pivotal shift: after two decades as net </w:t>
      </w:r>
      <w:r>
        <w:rPr>
          <w:b/>
          <w:bCs/>
          <w:color w:val="0b0b0b"/>
          <w:sz w:val="21"/>
          <w:szCs w:val="21"/>
        </w:rPr>
        <w:t xml:space="preserve">sellers</w:t>
      </w:r>
      <w:r>
        <w:rPr>
          <w:color w:val="0b0b0b"/>
          <w:sz w:val="21"/>
          <w:szCs w:val="21"/>
        </w:rPr>
        <w:t xml:space="preserve"> (the 1999 Central Bank Gold Agreement era), central banks turned net buyers in 2010 and then bought more than </w:t>
      </w:r>
      <w:r>
        <w:rPr>
          <w:b/>
          <w:bCs/>
          <w:color w:val="0b0b0b"/>
          <w:sz w:val="21"/>
          <w:szCs w:val="21"/>
        </w:rPr>
        <w:t xml:space="preserve">1,000 tonnes in each of 2022, 2023 and 2024</w:t>
      </w:r>
      <w:r>
        <w:rPr>
          <w:color w:val="0b0b0b"/>
          <w:sz w:val="21"/>
          <w:szCs w:val="21"/>
        </w:rPr>
        <w:t xml:space="preserve"> — more than double the 2010–2021 average of 473 t/yr. Official reserves have climbed from a ~30,500-tonne low around 2008 back to a record 38,666 tonnes. That relentless official bid is the demand story sitting underneath gold’s move from $1,800 to $4,000.</w:t>
      </w:r>
    </w:p>
    <w:p>
      <w:pPr>
        <w:spacing w:after="60" w:before="120"/>
        <w:jc w:val="center"/>
      </w:pPr>
      <w:r>
        <w:drawing>
          <wp:inline distT="0" distB="0" distL="0" distR="0">
            <wp:extent cx="5715000" cy="2628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2628900"/>
                    </a:xfrm>
                    <a:prstGeom prst="rect">
                      <a:avLst/>
                    </a:prstGeom>
                  </pic:spPr>
                </pic:pic>
              </a:graphicData>
            </a:graphic>
          </wp:inline>
        </w:drawing>
      </w:r>
    </w:p>
    <w:p>
      <w:pPr>
        <w:spacing w:after="160"/>
        <w:jc w:val="center"/>
      </w:pPr>
      <w:r>
        <w:rPr>
          <w:i/>
          <w:iCs/>
          <w:color w:val="898781"/>
          <w:sz w:val="16"/>
          <w:szCs w:val="16"/>
        </w:rPr>
        <w:t xml:space="preserve">Figure 5 — Central-bank net gold purchases (tonnes/yr): from net sellers in the 2000s to record buyers in the 2020s.</w:t>
      </w:r>
    </w:p>
    <w:p>
      <w:r>
        <w:br w:type="page"/>
      </w:r>
    </w:p>
    <w:p>
      <w:pPr>
        <w:pStyle w:val="Heading1"/>
        <w:spacing w:after="120" w:before="320"/>
      </w:pPr>
      <w:r>
        <w:rPr>
          <w:b/>
          <w:bCs/>
          <w:color w:val="0b0b0b"/>
          <w:sz w:val="30"/>
          <w:szCs w:val="30"/>
        </w:rPr>
        <w:t xml:space="preserve">6.  Three investor reads — AI simulations</w:t>
      </w:r>
    </w:p>
    <w:p>
      <w:pPr>
        <w:spacing w:after="140" w:line="300"/>
      </w:pPr>
      <w:r>
        <w:rPr>
          <w:b/>
          <w:bCs/>
          <w:color w:val="c2521f"/>
          <w:sz w:val="21"/>
          <w:szCs w:val="21"/>
        </w:rPr>
        <w:t xml:space="preserve">These are AI simulations, not the real people.  </w:t>
      </w:r>
      <w:r>
        <w:rPr>
          <w:i/>
          <w:iCs/>
          <w:color w:val="52514e"/>
          <w:sz w:val="21"/>
          <w:szCs w:val="21"/>
        </w:rPr>
        <w:t xml:space="preserve">The three “reads” below were written by Claude (an AI) from each investor’s publicly documented positions, to offer contrasting perspectives on the cost-versus-price picture. Stanley Druckenmiller, Paul Tudor Jones and Ray Dalio did not write, review, approve or contribute to any of this, and are in no way associated with this report or its author. The quotations are genuine and sourced; everything else is the author’s framing of their known views. All three lean bullish by design, so this is deliberately not a balanced market view — and it is not investment advice.</w:t>
      </w:r>
    </w:p>
    <w:p>
      <w:pPr>
        <w:pStyle w:val="Heading2"/>
        <w:spacing w:after="90" w:before="220"/>
      </w:pPr>
      <w:r>
        <w:rPr>
          <w:b/>
          <w:bCs/>
          <w:color w:val="2a78d6"/>
          <w:sz w:val="24"/>
          <w:szCs w:val="24"/>
        </w:rPr>
        <w:t xml:space="preserve">Stanley Druckenmiller — own it, currency debasement</w:t>
      </w:r>
    </w:p>
    <w:p>
      <w:pPr>
        <w:spacing w:after="140" w:line="300"/>
      </w:pPr>
      <w:r>
        <w:rPr>
          <w:b/>
          <w:bCs/>
          <w:color w:val="0b0b0b"/>
          <w:sz w:val="21"/>
          <w:szCs w:val="21"/>
        </w:rPr>
        <w:t xml:space="preserve">Verdict: </w:t>
      </w:r>
      <w:r>
        <w:rPr>
          <w:color w:val="0b0b0b"/>
          <w:sz w:val="21"/>
          <w:szCs w:val="21"/>
        </w:rPr>
        <w:t xml:space="preserve">Gold is a bet against every government’s incentive to inflate away its debt. The ~$1,700 cost floor is almost irrelevant — the trade is the deficit.</w:t>
      </w:r>
    </w:p>
    <w:p>
      <w:pPr>
        <w:pStyle w:val="ListParagraph"/>
        <w:numPr>
          <w:ilvl w:val="0"/>
          <w:numId w:val="2"/>
        </w:numPr>
        <w:spacing w:after="80" w:line="290"/>
      </w:pPr>
      <w:r>
        <w:rPr>
          <w:b/>
          <w:bCs/>
          <w:color w:val="0b0b0b"/>
          <w:sz w:val="21"/>
          <w:szCs w:val="21"/>
        </w:rPr>
        <w:t xml:space="preserve">On cost: </w:t>
      </w:r>
      <w:r>
        <w:rPr>
          <w:color w:val="0b0b0b"/>
          <w:sz w:val="21"/>
          <w:szCs w:val="21"/>
        </w:rPr>
        <w:t xml:space="preserve">a rising cost curve underwrites the downside — disciplined miners won’t flood the market with new ounces even at record margins, so supply stays tight.</w:t>
      </w:r>
    </w:p>
    <w:p>
      <w:pPr>
        <w:pStyle w:val="ListParagraph"/>
        <w:numPr>
          <w:ilvl w:val="0"/>
          <w:numId w:val="2"/>
        </w:numPr>
        <w:spacing w:after="80" w:line="290"/>
      </w:pPr>
      <w:r>
        <w:rPr>
          <w:b/>
          <w:bCs/>
          <w:color w:val="0b0b0b"/>
          <w:sz w:val="21"/>
          <w:szCs w:val="21"/>
        </w:rPr>
        <w:t xml:space="preserve">His real driver: </w:t>
      </w:r>
      <w:r>
        <w:rPr>
          <w:color w:val="0b0b0b"/>
          <w:sz w:val="21"/>
          <w:szCs w:val="21"/>
        </w:rPr>
        <w:t xml:space="preserve">fiscal profligacy (a ~$37T US debt load) and a Fed that can’t stay tight; he has warned the dollar may not be the world’s reserve currency in 50 years and has held Barrick Gold.</w:t>
      </w:r>
    </w:p>
    <w:p>
      <w:pPr>
        <w:pStyle w:val="ListParagraph"/>
        <w:numPr>
          <w:ilvl w:val="0"/>
          <w:numId w:val="2"/>
        </w:numPr>
        <w:spacing w:after="80" w:line="290"/>
      </w:pPr>
      <w:r>
        <w:rPr>
          <w:b/>
          <w:bCs/>
          <w:color w:val="0b0b0b"/>
          <w:sz w:val="21"/>
          <w:szCs w:val="21"/>
        </w:rPr>
        <w:t xml:space="preserve">Risk he’d flag: </w:t>
      </w:r>
      <w:r>
        <w:rPr>
          <w:color w:val="0b0b0b"/>
          <w:sz w:val="21"/>
          <w:szCs w:val="21"/>
        </w:rPr>
        <w:t xml:space="preserve">he sizes to conviction and exits fast — a genuinely hawkish, deficit-cutting regime would break the thesis.</w:t>
      </w:r>
    </w:p>
    <w:p>
      <w:pPr>
        <w:pBdr>
          <w:left w:val="single" w:color="2a78d6" w:sz="18" w:space="14"/>
        </w:pBdr>
        <w:spacing w:after="160" w:before="60" w:line="290"/>
        <w:ind w:left="360"/>
      </w:pPr>
      <w:r>
        <w:rPr>
          <w:i/>
          <w:iCs/>
          <w:color w:val="52514e"/>
          <w:sz w:val="20"/>
          <w:szCs w:val="20"/>
        </w:rPr>
        <w:t xml:space="preserve">“I wanted to own some currency and no country wants its currency to strengthen… Gold was down a lot, so I bought it.” </w:t>
      </w:r>
      <w:r>
        <w:rPr>
          <w:color w:val="898781"/>
          <w:sz w:val="17"/>
          <w:szCs w:val="17"/>
        </w:rPr>
        <w:t xml:space="preserve">— Druckenmiller, on his gold rationale</w:t>
      </w:r>
    </w:p>
    <w:p>
      <w:pPr>
        <w:pStyle w:val="Heading2"/>
        <w:spacing w:after="90" w:before="220"/>
      </w:pPr>
      <w:r>
        <w:rPr>
          <w:b/>
          <w:bCs/>
          <w:color w:val="2a78d6"/>
          <w:sz w:val="24"/>
          <w:szCs w:val="24"/>
        </w:rPr>
        <w:t xml:space="preserve">Paul Tudor Jones — long, “all roads lead to inflation”</w:t>
      </w:r>
    </w:p>
    <w:p>
      <w:pPr>
        <w:spacing w:after="140" w:line="300"/>
      </w:pPr>
      <w:r>
        <w:rPr>
          <w:b/>
          <w:bCs/>
          <w:color w:val="0b0b0b"/>
          <w:sz w:val="21"/>
          <w:szCs w:val="21"/>
        </w:rPr>
        <w:t xml:space="preserve">Verdict: </w:t>
      </w:r>
      <w:r>
        <w:rPr>
          <w:color w:val="0b0b0b"/>
          <w:sz w:val="21"/>
          <w:szCs w:val="21"/>
        </w:rPr>
        <w:t xml:space="preserve">The only politically possible way out of the debt is to inflate it away. Own gold and things that can’t be printed; be short bonds.</w:t>
      </w:r>
    </w:p>
    <w:p>
      <w:pPr>
        <w:pStyle w:val="ListParagraph"/>
        <w:numPr>
          <w:ilvl w:val="0"/>
          <w:numId w:val="2"/>
        </w:numPr>
        <w:spacing w:after="80" w:line="290"/>
      </w:pPr>
      <w:r>
        <w:rPr>
          <w:b/>
          <w:bCs/>
          <w:color w:val="0b0b0b"/>
          <w:sz w:val="21"/>
          <w:szCs w:val="21"/>
        </w:rPr>
        <w:t xml:space="preserve">On cost: </w:t>
      </w:r>
      <w:r>
        <w:rPr>
          <w:color w:val="0b0b0b"/>
          <w:sz w:val="21"/>
          <w:szCs w:val="21"/>
        </w:rPr>
        <w:t xml:space="preserve">costs and price both ratchet up with inflation — that is the mechanism, not a problem. Gold’s producing-cost floor rises with the very currency it is escaping.</w:t>
      </w:r>
    </w:p>
    <w:p>
      <w:pPr>
        <w:pStyle w:val="ListParagraph"/>
        <w:numPr>
          <w:ilvl w:val="0"/>
          <w:numId w:val="2"/>
        </w:numPr>
        <w:spacing w:after="80" w:line="290"/>
      </w:pPr>
      <w:r>
        <w:rPr>
          <w:b/>
          <w:bCs/>
          <w:color w:val="0b0b0b"/>
          <w:sz w:val="21"/>
          <w:szCs w:val="21"/>
        </w:rPr>
        <w:t xml:space="preserve">His real driver: </w:t>
      </w:r>
      <w:r>
        <w:rPr>
          <w:color w:val="0b0b0b"/>
          <w:sz w:val="21"/>
          <w:szCs w:val="21"/>
        </w:rPr>
        <w:t xml:space="preserve">deficits and negative real rates; he owns gold and bitcoin together as the inflation-hedge pair and calls 2025 markets “more explosive than 1999.”</w:t>
      </w:r>
    </w:p>
    <w:p>
      <w:pPr>
        <w:pStyle w:val="ListParagraph"/>
        <w:numPr>
          <w:ilvl w:val="0"/>
          <w:numId w:val="2"/>
        </w:numPr>
        <w:spacing w:after="80" w:line="290"/>
      </w:pPr>
      <w:r>
        <w:rPr>
          <w:b/>
          <w:bCs/>
          <w:color w:val="0b0b0b"/>
          <w:sz w:val="21"/>
          <w:szCs w:val="21"/>
        </w:rPr>
        <w:t xml:space="preserve">Risk he’d flag: </w:t>
      </w:r>
      <w:r>
        <w:rPr>
          <w:color w:val="0b0b0b"/>
          <w:sz w:val="21"/>
          <w:szCs w:val="21"/>
        </w:rPr>
        <w:t xml:space="preserve">a spike in real rates (bonds suddenly attractive) is gold’s classic enemy — he trades around it rather than marrying the position.</w:t>
      </w:r>
    </w:p>
    <w:p>
      <w:pPr>
        <w:pBdr>
          <w:left w:val="single" w:color="2a78d6" w:sz="18" w:space="14"/>
        </w:pBdr>
        <w:spacing w:after="160" w:before="60" w:line="290"/>
        <w:ind w:left="360"/>
      </w:pPr>
      <w:r>
        <w:rPr>
          <w:i/>
          <w:iCs/>
          <w:color w:val="52514e"/>
          <w:sz w:val="20"/>
          <w:szCs w:val="20"/>
        </w:rPr>
        <w:t xml:space="preserve">“All roads lead to inflation… I want to own gold, I want to own Bitcoin.” </w:t>
      </w:r>
      <w:r>
        <w:rPr>
          <w:color w:val="898781"/>
          <w:sz w:val="17"/>
          <w:szCs w:val="17"/>
        </w:rPr>
        <w:t xml:space="preserve">— Tudor Jones, CNBC 2024–2025</w:t>
      </w:r>
    </w:p>
    <w:p>
      <w:pPr>
        <w:pStyle w:val="Heading2"/>
        <w:spacing w:after="90" w:before="220"/>
      </w:pPr>
      <w:r>
        <w:rPr>
          <w:b/>
          <w:bCs/>
          <w:color w:val="2a78d6"/>
          <w:sz w:val="24"/>
          <w:szCs w:val="24"/>
        </w:rPr>
        <w:t xml:space="preserve">Ray Dalio — structural diversifier, not a trade</w:t>
      </w:r>
    </w:p>
    <w:p>
      <w:pPr>
        <w:spacing w:after="140" w:line="300"/>
      </w:pPr>
      <w:r>
        <w:rPr>
          <w:b/>
          <w:bCs/>
          <w:color w:val="0b0b0b"/>
          <w:sz w:val="21"/>
          <w:szCs w:val="21"/>
        </w:rPr>
        <w:t xml:space="preserve">Verdict: </w:t>
      </w:r>
      <w:r>
        <w:rPr>
          <w:color w:val="0b0b0b"/>
          <w:sz w:val="21"/>
          <w:szCs w:val="21"/>
        </w:rPr>
        <w:t xml:space="preserve">Hold about 10–15% in gold. It is the one major reserve asset that is nobody’s liability — the hedge for the late stage of a long-term debt cycle.</w:t>
      </w:r>
    </w:p>
    <w:p>
      <w:pPr>
        <w:pStyle w:val="ListParagraph"/>
        <w:numPr>
          <w:ilvl w:val="0"/>
          <w:numId w:val="2"/>
        </w:numPr>
        <w:spacing w:after="80" w:line="290"/>
      </w:pPr>
      <w:r>
        <w:rPr>
          <w:b/>
          <w:bCs/>
          <w:color w:val="0b0b0b"/>
          <w:sz w:val="21"/>
          <w:szCs w:val="21"/>
        </w:rPr>
        <w:t xml:space="preserve">On cost: </w:t>
      </w:r>
      <w:r>
        <w:rPr>
          <w:color w:val="0b0b0b"/>
          <w:sz w:val="21"/>
          <w:szCs w:val="21"/>
        </w:rPr>
        <w:t xml:space="preserve">production economics are secondary; gold’s value is monetary. In a debt “doom loop,” the printing press — not the mine — sets the price.</w:t>
      </w:r>
    </w:p>
    <w:p>
      <w:pPr>
        <w:pStyle w:val="ListParagraph"/>
        <w:numPr>
          <w:ilvl w:val="0"/>
          <w:numId w:val="2"/>
        </w:numPr>
        <w:spacing w:after="80" w:line="290"/>
      </w:pPr>
      <w:r>
        <w:rPr>
          <w:b/>
          <w:bCs/>
          <w:color w:val="0b0b0b"/>
          <w:sz w:val="21"/>
          <w:szCs w:val="21"/>
        </w:rPr>
        <w:t xml:space="preserve">His real driver: </w:t>
      </w:r>
      <w:r>
        <w:rPr>
          <w:color w:val="0b0b0b"/>
          <w:sz w:val="21"/>
          <w:szCs w:val="21"/>
        </w:rPr>
        <w:t xml:space="preserve">sovereign over-indebtedness and de-dollarisation; central banks buying gold is the thesis visibly playing out.</w:t>
      </w:r>
    </w:p>
    <w:p>
      <w:pPr>
        <w:pStyle w:val="ListParagraph"/>
        <w:numPr>
          <w:ilvl w:val="0"/>
          <w:numId w:val="2"/>
        </w:numPr>
        <w:spacing w:after="80" w:line="290"/>
      </w:pPr>
      <w:r>
        <w:rPr>
          <w:b/>
          <w:bCs/>
          <w:color w:val="0b0b0b"/>
          <w:sz w:val="21"/>
          <w:szCs w:val="21"/>
        </w:rPr>
        <w:t xml:space="preserve">Risk he’d flag: </w:t>
      </w:r>
      <w:r>
        <w:rPr>
          <w:color w:val="0b0b0b"/>
          <w:sz w:val="21"/>
          <w:szCs w:val="21"/>
        </w:rPr>
        <w:t xml:space="preserve">gold pays no yield and can stagnate for years — it is portfolio ballast, not the engine.</w:t>
      </w:r>
    </w:p>
    <w:p>
      <w:pPr>
        <w:pBdr>
          <w:left w:val="single" w:color="2a78d6" w:sz="18" w:space="14"/>
        </w:pBdr>
        <w:spacing w:after="160" w:before="60" w:line="290"/>
        <w:ind w:left="360"/>
      </w:pPr>
      <w:r>
        <w:rPr>
          <w:i/>
          <w:iCs/>
          <w:color w:val="52514e"/>
          <w:sz w:val="20"/>
          <w:szCs w:val="20"/>
        </w:rPr>
        <w:t xml:space="preserve">“Gold is the only asset that isn’t someone else’s liability; hold something like 10–15% as diversification against debt risk.” </w:t>
      </w:r>
      <w:r>
        <w:rPr>
          <w:color w:val="898781"/>
          <w:sz w:val="17"/>
          <w:szCs w:val="17"/>
        </w:rPr>
        <w:t xml:space="preserve">— Dalio, on portfolio construction</w:t>
      </w:r>
    </w:p>
    <w:p>
      <w:r>
        <w:br w:type="page"/>
      </w:r>
    </w:p>
    <w:p>
      <w:pPr>
        <w:pStyle w:val="Heading1"/>
        <w:spacing w:after="120" w:before="320"/>
      </w:pPr>
      <w:r>
        <w:rPr>
          <w:b/>
          <w:bCs/>
          <w:color w:val="0b0b0b"/>
          <w:sz w:val="30"/>
          <w:szCs w:val="30"/>
        </w:rPr>
        <w:t xml:space="preserve">Methodology &amp; caveats</w:t>
      </w:r>
    </w:p>
    <w:p>
      <w:pPr>
        <w:pStyle w:val="ListParagraph"/>
        <w:numPr>
          <w:ilvl w:val="0"/>
          <w:numId w:val="2"/>
        </w:numPr>
        <w:spacing w:after="80" w:line="290"/>
      </w:pPr>
      <w:r>
        <w:rPr>
          <w:b/>
          <w:bCs/>
          <w:color w:val="0b0b0b"/>
          <w:sz w:val="21"/>
          <w:szCs w:val="21"/>
        </w:rPr>
        <w:t xml:space="preserve">Headline AISC/AIC &amp; above-ground stock: </w:t>
      </w:r>
      <w:r>
        <w:rPr>
          <w:color w:val="0b0b0b"/>
          <w:sz w:val="21"/>
          <w:szCs w:val="21"/>
        </w:rPr>
        <w:t xml:space="preserve">World Gold Council (Q4 2025 AISC $1,706/oz; end-2025 stock 219,891 t) and Metals Focus. AIC is estimated as AISC plus typical growth capex and exploration.</w:t>
      </w:r>
    </w:p>
    <w:p>
      <w:pPr>
        <w:pStyle w:val="ListParagraph"/>
        <w:numPr>
          <w:ilvl w:val="0"/>
          <w:numId w:val="2"/>
        </w:numPr>
        <w:spacing w:after="80" w:line="290"/>
      </w:pPr>
      <w:r>
        <w:rPr>
          <w:b/>
          <w:bCs/>
          <w:color w:val="0b0b0b"/>
          <w:sz w:val="21"/>
          <w:szCs w:val="21"/>
        </w:rPr>
        <w:t xml:space="preserve">Fully-loaded cost &amp; the tax/finance lens: </w:t>
      </w:r>
      <w:r>
        <w:rPr>
          <w:color w:val="0b0b0b"/>
          <w:sz w:val="21"/>
          <w:szCs w:val="21"/>
        </w:rPr>
        <w:t xml:space="preserve">the 15% charge added to AIC (≈$292/oz → ≈$2,238) is an </w:t>
      </w:r>
      <w:r>
        <w:rPr>
          <w:b/>
          <w:bCs/>
          <w:color w:val="0b0b0b"/>
          <w:sz w:val="21"/>
          <w:szCs w:val="21"/>
        </w:rPr>
        <w:t xml:space="preserve">analytical assumption</w:t>
      </w:r>
      <w:r>
        <w:rPr>
          <w:color w:val="0b0b0b"/>
          <w:sz w:val="21"/>
          <w:szCs w:val="21"/>
        </w:rPr>
        <w:t xml:space="preserve">, not a WGC-reported figure, standing in for corporate income tax plus interest/financing on deployed capital. Effective tax + financing loads vary by company, jurisdiction and leverage, so treat the fully-loaded lens as illustrative.</w:t>
      </w:r>
    </w:p>
    <w:p>
      <w:pPr>
        <w:pStyle w:val="ListParagraph"/>
        <w:numPr>
          <w:ilvl w:val="0"/>
          <w:numId w:val="2"/>
        </w:numPr>
        <w:spacing w:after="80" w:line="290"/>
      </w:pPr>
      <w:r>
        <w:rPr>
          <w:b/>
          <w:bCs/>
          <w:color w:val="0b0b0b"/>
          <w:sz w:val="21"/>
          <w:szCs w:val="21"/>
        </w:rPr>
        <w:t xml:space="preserve">Country-level AISC is estimated. </w:t>
      </w:r>
      <w:r>
        <w:rPr>
          <w:color w:val="0b0b0b"/>
          <w:sz w:val="21"/>
          <w:szCs w:val="21"/>
        </w:rPr>
        <w:t xml:space="preserve">A standardised AISC metric only dates to 2013 and few countries publish one, so per-country values here are modelled from WGC regional figures (Africa $1,532, N. America $1,508, Oceania $1,464, S. America $1,197 in Q3 2024), the Metals Focus cost curve, and recent company reports (Endeavour W. Africa $1,433; Harmony S. Africa $1,806; Agnico $1,517; Newmont $1,302; Barrick ~$1,581).</w:t>
      </w:r>
    </w:p>
    <w:p>
      <w:pPr>
        <w:pStyle w:val="ListParagraph"/>
        <w:numPr>
          <w:ilvl w:val="0"/>
          <w:numId w:val="2"/>
        </w:numPr>
        <w:spacing w:after="80" w:line="290"/>
      </w:pPr>
      <w:r>
        <w:rPr>
          <w:b/>
          <w:bCs/>
          <w:color w:val="0b0b0b"/>
          <w:sz w:val="21"/>
          <w:szCs w:val="21"/>
        </w:rPr>
        <w:t xml:space="preserve">The cost stack </w:t>
      </w:r>
      <w:r>
        <w:rPr>
          <w:color w:val="0b0b0b"/>
          <w:sz w:val="21"/>
          <w:szCs w:val="21"/>
        </w:rPr>
        <w:t xml:space="preserve">is a representative build-up scaled to the current AISC level, anchored on WGC's Q3 2024 components (then sustaining capex $303/oz, royalties $90/oz, both since risen); the plotted bars are illustrative, and individual mine economics vary widely.</w:t>
      </w:r>
    </w:p>
    <w:p>
      <w:pPr>
        <w:pStyle w:val="ListParagraph"/>
        <w:numPr>
          <w:ilvl w:val="0"/>
          <w:numId w:val="2"/>
        </w:numPr>
        <w:spacing w:after="80" w:line="290"/>
      </w:pPr>
      <w:r>
        <w:rPr>
          <w:b/>
          <w:bCs/>
          <w:color w:val="0b0b0b"/>
          <w:sz w:val="21"/>
          <w:szCs w:val="21"/>
        </w:rPr>
        <w:t xml:space="preserve">The pre-2010 cost line </w:t>
      </w:r>
      <w:r>
        <w:rPr>
          <w:color w:val="0b0b0b"/>
          <w:sz w:val="21"/>
          <w:szCs w:val="21"/>
        </w:rPr>
        <w:t xml:space="preserve">is a cash-cost-based reconstruction (AISC did not exist then). Treat the long-run cost series as indicative of the margin, not a precise annual cost.</w:t>
      </w:r>
    </w:p>
    <w:p>
      <w:pPr>
        <w:pStyle w:val="ListParagraph"/>
        <w:numPr>
          <w:ilvl w:val="0"/>
          <w:numId w:val="2"/>
        </w:numPr>
        <w:spacing w:after="80" w:line="290"/>
      </w:pPr>
      <w:r>
        <w:rPr>
          <w:b/>
          <w:bCs/>
          <w:color w:val="0b0b0b"/>
          <w:sz w:val="21"/>
          <w:szCs w:val="21"/>
        </w:rPr>
        <w:t xml:space="preserve">Production &amp; reserves by country: </w:t>
      </w:r>
      <w:r>
        <w:rPr>
          <w:color w:val="0b0b0b"/>
          <w:sz w:val="21"/>
          <w:szCs w:val="21"/>
        </w:rPr>
        <w:t xml:space="preserve">USGS Mineral Commodity Summaries 2025 (world mine production ~3,300 t on the USGS measure; ~3,661 t on the WGC 2024 measure).</w:t>
      </w:r>
    </w:p>
    <w:p>
      <w:pPr>
        <w:pStyle w:val="ListParagraph"/>
        <w:numPr>
          <w:ilvl w:val="0"/>
          <w:numId w:val="2"/>
        </w:numPr>
        <w:spacing w:after="80" w:line="290"/>
      </w:pPr>
      <w:r>
        <w:rPr>
          <w:b/>
          <w:bCs/>
          <w:color w:val="0b0b0b"/>
          <w:sz w:val="21"/>
          <w:szCs w:val="21"/>
        </w:rPr>
        <w:t xml:space="preserve">Prices: </w:t>
      </w:r>
      <w:r>
        <w:rPr>
          <w:color w:val="0b0b0b"/>
          <w:sz w:val="21"/>
          <w:szCs w:val="21"/>
        </w:rPr>
        <w:t xml:space="preserve">LBMA/MetalCharts annual averages; spot (~$4,010) via Fortune/Forbes, 20 July 2026. Reserves by country &amp; central-bank flows: World Gold Council / IMF IFS (September 2025).</w:t>
      </w:r>
    </w:p>
    <w:p>
      <w:pPr>
        <w:spacing w:after="60"/>
      </w:pPr>
    </w:p>
    <w:p>
      <w:pPr>
        <w:spacing w:after="140" w:line="300"/>
      </w:pPr>
      <w:r>
        <w:rPr>
          <w:i/>
          <w:iCs/>
          <w:color w:val="898781"/>
          <w:sz w:val="18"/>
          <w:szCs w:val="18"/>
        </w:rPr>
        <w:t xml:space="preserve">This is an illustrative research briefing — not investment advice, and not a recommendation to buy, sell or hold gold or any other asset. The three investor “reads” in section 6 are AI simulations of documented public positions, not statements by, or endorsed by, the named individuals. Figures are best-available estimates as of 21 July 2026 and carry the uncertainties noted above.</w:t>
      </w:r>
    </w:p>
    <w:p>
      <w:pPr>
        <w:pStyle w:val="Heading1"/>
        <w:spacing w:after="120" w:before="320"/>
      </w:pPr>
      <w:r>
        <w:rPr>
          <w:b/>
          <w:bCs/>
          <w:color w:val="0b0b0b"/>
          <w:sz w:val="30"/>
          <w:szCs w:val="30"/>
        </w:rPr>
        <w:t xml:space="preserve">Sources</w:t>
      </w:r>
    </w:p>
    <w:p>
      <w:pPr>
        <w:pStyle w:val="ListParagraph"/>
        <w:numPr>
          <w:ilvl w:val="0"/>
          <w:numId w:val="2"/>
        </w:numPr>
        <w:spacing w:after="70" w:line="280"/>
      </w:pPr>
      <w:r>
        <w:rPr>
          <w:color w:val="0b0b0b"/>
          <w:sz w:val="19"/>
          <w:szCs w:val="19"/>
        </w:rPr>
        <w:t xml:space="preserve">World Gold Council — AISC data &amp; cost curve — </w:t>
      </w:r>
      <w:hyperlink w:history="1" r:id="rIdyhd5spmrklbgxv-iaj1ej">
        <w:r>
          <w:rPr>
            <w:color w:val="2a78d6"/>
            <w:sz w:val="18"/>
            <w:szCs w:val="18"/>
            <w:u w:val="single"/>
          </w:rPr>
          <w:t xml:space="preserve">https://www.gold.org/goldhub/data/aisc-gold</w:t>
        </w:r>
      </w:hyperlink>
    </w:p>
    <w:p>
      <w:pPr>
        <w:pStyle w:val="ListParagraph"/>
        <w:numPr>
          <w:ilvl w:val="0"/>
          <w:numId w:val="2"/>
        </w:numPr>
        <w:spacing w:after="70" w:line="280"/>
      </w:pPr>
      <w:r>
        <w:rPr>
          <w:color w:val="0b0b0b"/>
          <w:sz w:val="19"/>
          <w:szCs w:val="19"/>
        </w:rPr>
        <w:t xml:space="preserve">World Gold Council — “Ever upwards for AISC” (regional variations) — </w:t>
      </w:r>
      <w:hyperlink w:history="1" r:id="rIdve0r6uxbciboxnp2us5my">
        <w:r>
          <w:rPr>
            <w:color w:val="2a78d6"/>
            <w:sz w:val="18"/>
            <w:szCs w:val="18"/>
            <w:u w:val="single"/>
          </w:rPr>
          <w:t xml:space="preserve">https://www.gold.org/goldhub/gold-focus/2025/03/ever-upwards-aisc-distinct-regional-variations-are-emerging</w:t>
        </w:r>
      </w:hyperlink>
    </w:p>
    <w:p>
      <w:pPr>
        <w:pStyle w:val="ListParagraph"/>
        <w:numPr>
          <w:ilvl w:val="0"/>
          <w:numId w:val="2"/>
        </w:numPr>
        <w:spacing w:after="70" w:line="280"/>
      </w:pPr>
      <w:r>
        <w:rPr>
          <w:color w:val="0b0b0b"/>
          <w:sz w:val="19"/>
          <w:szCs w:val="19"/>
        </w:rPr>
        <w:t xml:space="preserve">World Gold Council — How much gold has been mined — </w:t>
      </w:r>
      <w:hyperlink w:history="1" r:id="rId-gofllo21gdyoerjklfex">
        <w:r>
          <w:rPr>
            <w:color w:val="2a78d6"/>
            <w:sz w:val="18"/>
            <w:szCs w:val="18"/>
            <w:u w:val="single"/>
          </w:rPr>
          <w:t xml:space="preserve">https://www.gold.org/goldhub/data/how-much-gold</w:t>
        </w:r>
      </w:hyperlink>
    </w:p>
    <w:p>
      <w:pPr>
        <w:pStyle w:val="ListParagraph"/>
        <w:numPr>
          <w:ilvl w:val="0"/>
          <w:numId w:val="2"/>
        </w:numPr>
        <w:spacing w:after="70" w:line="280"/>
      </w:pPr>
      <w:r>
        <w:rPr>
          <w:color w:val="0b0b0b"/>
          <w:sz w:val="19"/>
          <w:szCs w:val="19"/>
        </w:rPr>
        <w:t xml:space="preserve">World Gold Council — Gold demand trends, full-year 2025 (supply) — </w:t>
      </w:r>
      <w:hyperlink w:history="1" r:id="rIdy5tlrqsfrs2x9gkeinl7t">
        <w:r>
          <w:rPr>
            <w:color w:val="2a78d6"/>
            <w:sz w:val="18"/>
            <w:szCs w:val="18"/>
            <w:u w:val="single"/>
          </w:rPr>
          <w:t xml:space="preserve">https://www.gold.org/goldhub/research/gold-demand-trends/gold-demand-trends-full-year-2025/supply</w:t>
        </w:r>
      </w:hyperlink>
    </w:p>
    <w:p>
      <w:pPr>
        <w:pStyle w:val="ListParagraph"/>
        <w:numPr>
          <w:ilvl w:val="0"/>
          <w:numId w:val="2"/>
        </w:numPr>
        <w:spacing w:after="70" w:line="280"/>
      </w:pPr>
      <w:r>
        <w:rPr>
          <w:color w:val="0b0b0b"/>
          <w:sz w:val="19"/>
          <w:szCs w:val="19"/>
        </w:rPr>
        <w:t xml:space="preserve">World Gold Council — Central-bank gold reserves &amp; demand — </w:t>
      </w:r>
      <w:hyperlink w:history="1" r:id="rId4o3-8wwrknxtyl8uquevp">
        <w:r>
          <w:rPr>
            <w:color w:val="2a78d6"/>
            <w:sz w:val="18"/>
            <w:szCs w:val="18"/>
            <w:u w:val="single"/>
          </w:rPr>
          <w:t xml:space="preserve">https://www.gold.org/goldhub/data/gold-reserves-by-country</w:t>
        </w:r>
      </w:hyperlink>
    </w:p>
    <w:p>
      <w:pPr>
        <w:pStyle w:val="ListParagraph"/>
        <w:numPr>
          <w:ilvl w:val="0"/>
          <w:numId w:val="2"/>
        </w:numPr>
        <w:spacing w:after="70" w:line="280"/>
      </w:pPr>
      <w:r>
        <w:rPr>
          <w:color w:val="0b0b0b"/>
          <w:sz w:val="19"/>
          <w:szCs w:val="19"/>
        </w:rPr>
        <w:t xml:space="preserve">USGS — Mineral Commodity Summaries 2025 (Gold) — </w:t>
      </w:r>
      <w:hyperlink w:history="1" r:id="rIdl8wbliytxtgtxu-ivuywl">
        <w:r>
          <w:rPr>
            <w:color w:val="2a78d6"/>
            <w:sz w:val="18"/>
            <w:szCs w:val="18"/>
            <w:u w:val="single"/>
          </w:rPr>
          <w:t xml:space="preserve">https://pubs.usgs.gov/periodicals/mcs2025/mcs2025-gold.pdf</w:t>
        </w:r>
      </w:hyperlink>
    </w:p>
    <w:p>
      <w:pPr>
        <w:pStyle w:val="ListParagraph"/>
        <w:numPr>
          <w:ilvl w:val="0"/>
          <w:numId w:val="2"/>
        </w:numPr>
        <w:spacing w:after="70" w:line="280"/>
      </w:pPr>
      <w:r>
        <w:rPr>
          <w:color w:val="0b0b0b"/>
          <w:sz w:val="19"/>
          <w:szCs w:val="19"/>
        </w:rPr>
        <w:t xml:space="preserve">Metals Focus / Selborne Research — AISC benchmarks 2026 — </w:t>
      </w:r>
      <w:hyperlink w:history="1" r:id="rIdlncwyqmcgllx7epzwct3e">
        <w:r>
          <w:rPr>
            <w:color w:val="2a78d6"/>
            <w:sz w:val="18"/>
            <w:szCs w:val="18"/>
            <w:u w:val="single"/>
          </w:rPr>
          <w:t xml:space="preserve">https://selborneresearch.com/guides/mining/aisc-benchmarks/</w:t>
        </w:r>
      </w:hyperlink>
    </w:p>
    <w:p>
      <w:pPr>
        <w:pStyle w:val="ListParagraph"/>
        <w:numPr>
          <w:ilvl w:val="0"/>
          <w:numId w:val="2"/>
        </w:numPr>
        <w:spacing w:after="70" w:line="280"/>
      </w:pPr>
      <w:r>
        <w:rPr>
          <w:color w:val="0b0b0b"/>
          <w:sz w:val="19"/>
          <w:szCs w:val="19"/>
        </w:rPr>
        <w:t xml:space="preserve">S&amp;P Global — Gold AISC in US, Canada up YoY — </w:t>
      </w:r>
      <w:hyperlink w:history="1" r:id="rIdftctytt13ukldus0rnxyq">
        <w:r>
          <w:rPr>
            <w:color w:val="2a78d6"/>
            <w:sz w:val="18"/>
            <w:szCs w:val="18"/>
            <w:u w:val="single"/>
          </w:rPr>
          <w:t xml:space="preserve">https://www.spglobal.com/market-intelligence/en/news-insights/research/2025/10/gold-all-in-sustaining-costs-in-us-canada-up-yoy-margins-to-widen-further</w:t>
        </w:r>
      </w:hyperlink>
    </w:p>
    <w:p>
      <w:pPr>
        <w:pStyle w:val="ListParagraph"/>
        <w:numPr>
          <w:ilvl w:val="0"/>
          <w:numId w:val="2"/>
        </w:numPr>
        <w:spacing w:after="70" w:line="280"/>
      </w:pPr>
      <w:r>
        <w:rPr>
          <w:color w:val="0b0b0b"/>
          <w:sz w:val="19"/>
          <w:szCs w:val="19"/>
        </w:rPr>
        <w:t xml:space="preserve">MetalCharts — Gold price history 1970–2026 — </w:t>
      </w:r>
      <w:hyperlink w:history="1" r:id="rIdcd7ehox7pmnjxosvxvbum">
        <w:r>
          <w:rPr>
            <w:color w:val="2a78d6"/>
            <w:sz w:val="18"/>
            <w:szCs w:val="18"/>
            <w:u w:val="single"/>
          </w:rPr>
          <w:t xml:space="preserve">https://metalcharts.org/gold-price-history</w:t>
        </w:r>
      </w:hyperlink>
    </w:p>
    <w:p>
      <w:pPr>
        <w:pStyle w:val="ListParagraph"/>
        <w:numPr>
          <w:ilvl w:val="0"/>
          <w:numId w:val="2"/>
        </w:numPr>
        <w:spacing w:after="70" w:line="280"/>
      </w:pPr>
      <w:r>
        <w:rPr>
          <w:color w:val="0b0b0b"/>
          <w:sz w:val="19"/>
          <w:szCs w:val="19"/>
        </w:rPr>
        <w:t xml:space="preserve">Fortune — Current price of gold, 20 July 2026 — </w:t>
      </w:r>
      <w:hyperlink w:history="1" r:id="rIdqilzrmkiini2b1gs5kbip">
        <w:r>
          <w:rPr>
            <w:color w:val="2a78d6"/>
            <w:sz w:val="18"/>
            <w:szCs w:val="18"/>
            <w:u w:val="single"/>
          </w:rPr>
          <w:t xml:space="preserve">https://fortune.com/article/current-price-of-gold-07-20-202/</w:t>
        </w:r>
      </w:hyperlink>
    </w:p>
    <w:p>
      <w:pPr>
        <w:spacing w:after="140"/>
      </w:pPr>
    </w:p>
    <w:p>
      <w:pPr>
        <w:pBdr>
          <w:top w:val="single" w:color="d9d8d2" w:sz="4" w:space="8"/>
        </w:pBdr>
        <w:spacing w:before="140" w:line="290"/>
      </w:pPr>
      <w:r>
        <w:rPr>
          <w:b/>
          <w:bCs/>
          <w:color w:val="0b0b0b"/>
          <w:sz w:val="21"/>
          <w:szCs w:val="21"/>
        </w:rPr>
        <w:t xml:space="preserve">About.  </w:t>
      </w:r>
      <w:r>
        <w:rPr>
          <w:color w:val="52514e"/>
          <w:sz w:val="18"/>
          <w:szCs w:val="18"/>
        </w:rPr>
        <w:t xml:space="preserve">This project is by Hulki Okan Tabak — with Claude. His collected works — books, photographs, essays, games, artworks, and his other experiments — live at </w:t>
      </w:r>
      <w:hyperlink w:history="1" r:id="rIdajqiutn9a8n1z85xgbwmm">
        <w:r>
          <w:rPr>
            <w:color w:val="2a78d6"/>
            <w:sz w:val="18"/>
            <w:szCs w:val="18"/>
            <w:u w:val="single"/>
          </w:rPr>
          <w:t xml:space="preserve">hulkiokantabak.github.io/hulkiokantabak.com</w:t>
        </w:r>
      </w:hyperlink>
      <w:r>
        <w:rPr>
          <w:color w:val="52514e"/>
          <w:sz w:val="18"/>
          <w:szCs w:val="18"/>
        </w:rPr>
        <w:t xml:space="preserve">.</w:t>
      </w:r>
    </w:p>
    <w:sectPr>
      <w:pgSz w:w="12240" w:h="15840" w:orient="portrait"/>
      <w:pgMar w:top="1350" w:right="1440" w:bottom="135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rPr>
        <w:color w:val="2a78d6"/>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0b0b0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yhd5spmrklbgxv-iaj1ej" Type="http://schemas.openxmlformats.org/officeDocument/2006/relationships/hyperlink" Target="https://www.gold.org/goldhub/data/aisc-gold" TargetMode="External"/><Relationship Id="rIdve0r6uxbciboxnp2us5my" Type="http://schemas.openxmlformats.org/officeDocument/2006/relationships/hyperlink" Target="https://www.gold.org/goldhub/gold-focus/2025/03/ever-upwards-aisc-distinct-regional-variations-are-emerging" TargetMode="External"/><Relationship Id="rId-gofllo21gdyoerjklfex" Type="http://schemas.openxmlformats.org/officeDocument/2006/relationships/hyperlink" Target="https://www.gold.org/goldhub/data/how-much-gold" TargetMode="External"/><Relationship Id="rIdy5tlrqsfrs2x9gkeinl7t" Type="http://schemas.openxmlformats.org/officeDocument/2006/relationships/hyperlink" Target="https://www.gold.org/goldhub/research/gold-demand-trends/gold-demand-trends-full-year-2025/supply" TargetMode="External"/><Relationship Id="rId4o3-8wwrknxtyl8uquevp" Type="http://schemas.openxmlformats.org/officeDocument/2006/relationships/hyperlink" Target="https://www.gold.org/goldhub/data/gold-reserves-by-country" TargetMode="External"/><Relationship Id="rIdl8wbliytxtgtxu-ivuywl" Type="http://schemas.openxmlformats.org/officeDocument/2006/relationships/hyperlink" Target="https://pubs.usgs.gov/periodicals/mcs2025/mcs2025-gold.pdf" TargetMode="External"/><Relationship Id="rIdlncwyqmcgllx7epzwct3e" Type="http://schemas.openxmlformats.org/officeDocument/2006/relationships/hyperlink" Target="https://selborneresearch.com/guides/mining/aisc-benchmarks/" TargetMode="External"/><Relationship Id="rIdftctytt13ukldus0rnxyq" Type="http://schemas.openxmlformats.org/officeDocument/2006/relationships/hyperlink" Target="https://www.spglobal.com/market-intelligence/en/news-insights/research/2025/10/gold-all-in-sustaining-costs-in-us-canada-up-yoy-margins-to-widen-further" TargetMode="External"/><Relationship Id="rIdcd7ehox7pmnjxosvxvbum" Type="http://schemas.openxmlformats.org/officeDocument/2006/relationships/hyperlink" Target="https://metalcharts.org/gold-price-history" TargetMode="External"/><Relationship Id="rIdqilzrmkiini2b1gs5kbip" Type="http://schemas.openxmlformats.org/officeDocument/2006/relationships/hyperlink" Target="https://fortune.com/article/current-price-of-gold-07-20-202/" TargetMode="External"/><Relationship Id="rIdajqiutn9a8n1z85xgbwmm" Type="http://schemas.openxmlformats.org/officeDocument/2006/relationships/hyperlink" Target="https://hulkiokantabak.github.io/hulkiokantabak.com/" TargetMode="External"/><Relationship Id="rId7" Type="http://schemas.openxmlformats.org/officeDocument/2006/relationships/image" Target="media/a0b590887d11ec43ed0f362e4f6f27ab41198d00.png"/><Relationship Id="rId8" Type="http://schemas.openxmlformats.org/officeDocument/2006/relationships/image" Target="media/0d51b6577675f6380050b7e034497d8885416194.png"/><Relationship Id="rId9" Type="http://schemas.openxmlformats.org/officeDocument/2006/relationships/image" Target="media/c743bc07a1eb47d4f8ce720e799b8df71adfab69.png"/><Relationship Id="rId10" Type="http://schemas.openxmlformats.org/officeDocument/2006/relationships/image" Target="media/f2490c307c936da449b46218fc7ef454e3a04f9a.png"/><Relationship Id="rId11" Type="http://schemas.openxmlformats.org/officeDocument/2006/relationships/image" Target="media/9453ab767c8fb7ee41ee5b051caaed3554fa1f8b.png"/><Relationship Id="rId12" Type="http://schemas.openxmlformats.org/officeDocument/2006/relationships/image" Target="media/c52ca73a7e017ea4503f9bbc1fff66b9093f0877.png"/><Relationship Id="rId2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 research briefing</dc:creator>
  <cp:lastModifiedBy>Un-named</cp:lastModifiedBy>
  <cp:revision>1</cp:revision>
  <dcterms:created xsi:type="dcterms:W3CDTF">2026-07-21T14:48:04.866Z</dcterms:created>
  <dcterms:modified xsi:type="dcterms:W3CDTF">2026-07-21T14:48:04.867Z</dcterms:modified>
</cp:coreProperties>
</file>

<file path=docProps/custom.xml><?xml version="1.0" encoding="utf-8"?>
<Properties xmlns="http://schemas.openxmlformats.org/officeDocument/2006/custom-properties" xmlns:vt="http://schemas.openxmlformats.org/officeDocument/2006/docPropsVTypes"/>
</file>